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80F6" w14:textId="77777777" w:rsidR="00E0694E" w:rsidRPr="00A20953" w:rsidRDefault="00E0694E" w:rsidP="00E0694E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A20953">
        <w:rPr>
          <w:rFonts w:asciiTheme="minorHAnsi" w:hAnsiTheme="minorHAnsi" w:cstheme="minorHAnsi"/>
          <w:color w:val="01579B"/>
          <w:sz w:val="40"/>
          <w:szCs w:val="40"/>
        </w:rPr>
        <w:t>Essential Elements</w:t>
      </w:r>
    </w:p>
    <w:tbl>
      <w:tblPr>
        <w:tblStyle w:val="TableGrid"/>
        <w:tblW w:w="0" w:type="auto"/>
        <w:tblInd w:w="133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0694E" w:rsidRPr="00E0694E" w14:paraId="131F9A62" w14:textId="77777777" w:rsidTr="001148B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73612B0" w14:textId="77777777" w:rsidR="00E0694E" w:rsidRPr="00E0694E" w:rsidRDefault="00E0694E" w:rsidP="001148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Indicator Description: </w:t>
            </w:r>
          </w:p>
        </w:tc>
      </w:tr>
      <w:tr w:rsidR="00E0694E" w:rsidRPr="00E0694E" w14:paraId="48DEE07E" w14:textId="77777777" w:rsidTr="001148B3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9D2C" w14:textId="1EDEE64B" w:rsidR="00E0694E" w:rsidRPr="00E0694E" w:rsidRDefault="00E0694E" w:rsidP="00114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0694E">
              <w:rPr>
                <w:rFonts w:asciiTheme="minorHAnsi" w:hAnsiTheme="minorHAnsi" w:cstheme="minorHAnsi"/>
                <w:color w:val="000000" w:themeColor="text1"/>
                <w:sz w:val="20"/>
              </w:rPr>
              <w:t>Percent of children who were evaluated within 60 days of receiving parental consent for initial evaluation or, if the state establishes a time frame within which the evaluation must be conducted, within that time frame.</w:t>
            </w:r>
          </w:p>
        </w:tc>
      </w:tr>
      <w:tr w:rsidR="00E0694E" w:rsidRPr="00E0694E" w14:paraId="12CD59D5" w14:textId="77777777" w:rsidTr="001148B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0D3DBDF" w14:textId="77777777" w:rsidR="00E0694E" w:rsidRPr="00E0694E" w:rsidRDefault="00E0694E" w:rsidP="001148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Measurement:</w:t>
            </w: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1"/>
            </w:r>
          </w:p>
        </w:tc>
      </w:tr>
      <w:tr w:rsidR="00E0694E" w:rsidRPr="00E0694E" w14:paraId="6AA34C19" w14:textId="77777777" w:rsidTr="001148B3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91CA235" w14:textId="3464C0FB" w:rsidR="00E0694E" w:rsidRPr="00404D1D" w:rsidRDefault="00E0694E" w:rsidP="00E5503C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04D1D">
              <w:rPr>
                <w:rFonts w:asciiTheme="minorHAnsi" w:hAnsiTheme="minorHAnsi" w:cstheme="minorHAnsi"/>
                <w:color w:val="000000" w:themeColor="text1"/>
                <w:sz w:val="20"/>
              </w:rPr>
              <w:t>a.</w:t>
            </w:r>
            <w:r w:rsidR="00E5503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</w:t>
            </w:r>
            <w:r w:rsidRPr="00404D1D">
              <w:rPr>
                <w:rFonts w:asciiTheme="minorHAnsi" w:hAnsiTheme="minorHAnsi" w:cstheme="minorHAnsi"/>
                <w:color w:val="000000" w:themeColor="text1"/>
                <w:sz w:val="20"/>
              </w:rPr>
              <w:t># of children for whom parental consent to evaluate was received.</w:t>
            </w:r>
          </w:p>
          <w:p w14:paraId="35AA66BE" w14:textId="2A4D1873" w:rsidR="00E0694E" w:rsidRPr="00404D1D" w:rsidRDefault="00E0694E" w:rsidP="00E5503C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71E2C">
              <w:rPr>
                <w:rFonts w:asciiTheme="minorHAnsi" w:hAnsiTheme="minorHAnsi" w:cstheme="minorHAnsi"/>
                <w:color w:val="000000" w:themeColor="text1"/>
                <w:sz w:val="20"/>
              </w:rPr>
              <w:t>b.</w:t>
            </w:r>
            <w:r w:rsidR="00E5503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</w:t>
            </w:r>
            <w:r w:rsidRPr="00B71E2C">
              <w:rPr>
                <w:rFonts w:asciiTheme="minorHAnsi" w:hAnsiTheme="minorHAnsi" w:cstheme="minorHAnsi"/>
                <w:color w:val="000000" w:themeColor="text1"/>
                <w:sz w:val="20"/>
              </w:rPr>
              <w:t>#</w:t>
            </w:r>
            <w:r w:rsidRPr="00404D1D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of children whose evaluations were completed within 60 days (or state-established timeline).</w:t>
            </w:r>
          </w:p>
          <w:p w14:paraId="036BF785" w14:textId="77777777" w:rsidR="00E0694E" w:rsidRPr="00404D1D" w:rsidRDefault="00E0694E" w:rsidP="001148B3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04D1D">
              <w:rPr>
                <w:rFonts w:asciiTheme="minorHAnsi" w:hAnsiTheme="minorHAnsi" w:cstheme="minorHAnsi"/>
                <w:color w:val="000000" w:themeColor="text1"/>
                <w:sz w:val="20"/>
              </w:rPr>
              <w:t>Account for children included in (a), but not included in (b). Indicate the range of days beyond the timeline when the evaluation was completed and any reasons for the delays.</w:t>
            </w:r>
          </w:p>
          <w:p w14:paraId="0B53C8F0" w14:textId="77777777" w:rsidR="00E0694E" w:rsidRPr="00E0694E" w:rsidRDefault="00E0694E" w:rsidP="001148B3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404D1D">
              <w:rPr>
                <w:rFonts w:asciiTheme="minorHAnsi" w:hAnsiTheme="minorHAnsi" w:cstheme="minorHAnsi"/>
                <w:color w:val="000000" w:themeColor="text1"/>
                <w:sz w:val="20"/>
              </w:rPr>
              <w:t>Percent = [(b) divided by (a)] times 100.</w:t>
            </w:r>
          </w:p>
          <w:p w14:paraId="302F7D29" w14:textId="77777777" w:rsidR="00E0694E" w:rsidRDefault="00E0694E" w:rsidP="001148B3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0694E">
              <w:rPr>
                <w:rFonts w:asciiTheme="minorHAnsi" w:hAnsiTheme="minorHAnsi" w:cstheme="minorHAnsi"/>
                <w:color w:val="000000" w:themeColor="text1"/>
                <w:sz w:val="20"/>
              </w:rPr>
              <w:t>Provide the actual numbers used in the calculation.</w:t>
            </w:r>
          </w:p>
          <w:p w14:paraId="44A8AC3F" w14:textId="1E7C8CC4" w:rsidR="005409C6" w:rsidRPr="00E0694E" w:rsidRDefault="005409C6" w:rsidP="00114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Indicate if the </w:t>
            </w:r>
            <w:r w:rsidR="00404D1D">
              <w:rPr>
                <w:rFonts w:asciiTheme="minorHAnsi" w:hAnsiTheme="minorHAnsi" w:cstheme="minorHAnsi"/>
                <w:color w:val="000000" w:themeColor="text1"/>
                <w:sz w:val="20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tate has established a timeline and, if so, what is the </w:t>
            </w:r>
            <w:r w:rsidR="00404D1D">
              <w:rPr>
                <w:rFonts w:asciiTheme="minorHAnsi" w:hAnsiTheme="minorHAnsi" w:cstheme="minorHAnsi"/>
                <w:color w:val="000000" w:themeColor="text1"/>
                <w:sz w:val="20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tate’s timeline for initial evaluations.</w:t>
            </w:r>
          </w:p>
        </w:tc>
      </w:tr>
      <w:tr w:rsidR="00270202" w:rsidRPr="00E0694E" w14:paraId="0F707407" w14:textId="77777777" w:rsidTr="001148B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F8D6BE2" w14:textId="7A48A86E" w:rsidR="00270202" w:rsidRPr="00E0694E" w:rsidRDefault="00270202" w:rsidP="001148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C4B8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Stakeholder Engagement:</w:t>
            </w:r>
            <w:r w:rsidRPr="006C4B8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Describe the process the </w:t>
            </w:r>
            <w:r w:rsidR="006C4B83"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SEA 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uses to engage stakeholders for the </w:t>
            </w:r>
            <w:r w:rsidR="006C4B83"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State Performance Plan/Annual Performance Report (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SPP/APR</w:t>
            </w:r>
            <w:r w:rsidR="006C4B83"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)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that includes broad stakeholder input and includes </w:t>
            </w:r>
            <w:r w:rsidR="00B71E2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a) the number of parents (parent members of organiz</w:t>
            </w:r>
            <w:r w:rsidR="006C4B83"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ations and individual parents) 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engaged in setting targets, analyzing data, developing improvement activities</w:t>
            </w:r>
            <w:r w:rsidR="006C4B83"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,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and evaluating progress; </w:t>
            </w:r>
            <w:r w:rsidR="00B71E2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b) description of activities </w:t>
            </w:r>
            <w:r w:rsidR="006C4B83"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the SEA 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conducted to increase the capacity of diverse groups of parents to support the development of implementation of activities to improve outcomes; </w:t>
            </w:r>
            <w:r w:rsidR="00B71E2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c) the mechanisms and timeline for soliciting input for target setting, analyzing data, developing improvement strategies, and evaluating progress; and </w:t>
            </w:r>
            <w:r w:rsidR="00B71E2C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d) mechanisms and timelines for mak</w:t>
            </w:r>
            <w:r w:rsidR="006C4B83"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ing</w:t>
            </w:r>
            <w:r w:rsidRPr="006C4B83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the results of the target setting, data analysis, development of improvement strategies, and evaluation available to the public.</w:t>
            </w:r>
          </w:p>
        </w:tc>
      </w:tr>
      <w:tr w:rsidR="00270202" w:rsidRPr="002C430E" w14:paraId="593A654E" w14:textId="77777777" w:rsidTr="001148B3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14:paraId="7A383446" w14:textId="77777777" w:rsidR="00270202" w:rsidRPr="002C430E" w:rsidRDefault="00270202" w:rsidP="002C43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15A36E8B" w14:textId="77777777" w:rsidTr="001148B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0840BCBE" w14:textId="52E71100" w:rsidR="00E0694E" w:rsidRPr="00E0694E" w:rsidRDefault="00E0694E" w:rsidP="001148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Target Setting:</w:t>
            </w:r>
            <w:r w:rsidRP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This is a compliance indicator. </w:t>
            </w:r>
          </w:p>
        </w:tc>
      </w:tr>
      <w:tr w:rsidR="00E0694E" w:rsidRPr="00E0694E" w14:paraId="2454E350" w14:textId="77777777" w:rsidTr="001148B3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39BC2B5" w14:textId="77777777" w:rsidR="00E0694E" w:rsidRPr="00E0694E" w:rsidRDefault="00E0694E" w:rsidP="00114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0694E">
              <w:rPr>
                <w:rFonts w:asciiTheme="minorHAnsi" w:hAnsiTheme="minorHAnsi" w:cstheme="minorHAnsi"/>
                <w:color w:val="000000" w:themeColor="text1"/>
                <w:sz w:val="20"/>
              </w:rPr>
              <w:t>Target must be 100%.</w:t>
            </w:r>
          </w:p>
        </w:tc>
      </w:tr>
      <w:tr w:rsidR="00E0694E" w:rsidRPr="00E0694E" w14:paraId="20DC0957" w14:textId="77777777" w:rsidTr="001148B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0C5162DA" w14:textId="6A071276" w:rsidR="00E0694E" w:rsidRPr="00E0694E" w:rsidRDefault="00270202" w:rsidP="001148B3">
            <w:pPr>
              <w:keepNext/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</w:pPr>
            <w:r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>Online SPP/APR Submission Tool Information: Describe login information, who has access, how to gain access for additional staff</w:t>
            </w:r>
            <w:r w:rsidR="006C4B83">
              <w:rPr>
                <w:rFonts w:asciiTheme="minorHAnsi" w:hAnsiTheme="minorHAnsi" w:cstheme="minorBidi"/>
                <w:color w:val="FFFFFF" w:themeColor="background1"/>
                <w:sz w:val="20"/>
              </w:rPr>
              <w:t>,</w:t>
            </w:r>
            <w:r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 and how to access online </w:t>
            </w:r>
            <w:r w:rsidR="00782555">
              <w:rPr>
                <w:rFonts w:asciiTheme="minorHAnsi" w:hAnsiTheme="minorHAnsi" w:cstheme="minorBidi"/>
                <w:color w:val="FFFFFF" w:themeColor="background1"/>
                <w:sz w:val="20"/>
              </w:rPr>
              <w:t>SPP/APR submission tool support</w:t>
            </w:r>
            <w:r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>.</w:t>
            </w:r>
          </w:p>
        </w:tc>
      </w:tr>
      <w:tr w:rsidR="00E0694E" w:rsidRPr="00E0694E" w14:paraId="672A6659" w14:textId="77777777" w:rsidTr="001148B3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37501D" w14:textId="77777777" w:rsidR="00E0694E" w:rsidRPr="00E0694E" w:rsidRDefault="00E0694E" w:rsidP="00114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4F2E3AB9" w14:textId="77777777" w:rsidTr="001148B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478FC8B7" w14:textId="76E73366" w:rsidR="00E0694E" w:rsidRPr="00E0694E" w:rsidRDefault="00E0694E" w:rsidP="001148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Data Stewards: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titles and names, contact information, department, and any notes on persons responsible for </w:t>
            </w:r>
            <w:r w:rsidR="006C4B8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>collection, validation, analysis, and submission. If there are multiple parties responsible or involved in the process, list them all.</w:t>
            </w:r>
          </w:p>
        </w:tc>
      </w:tr>
      <w:tr w:rsidR="00E0694E" w:rsidRPr="00E0694E" w14:paraId="5DAB6C7B" w14:textId="77777777" w:rsidTr="001148B3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2EB378F" w14:textId="77777777" w:rsidR="00E0694E" w:rsidRPr="00E0694E" w:rsidRDefault="00E0694E" w:rsidP="00114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78CCBC10" w14:textId="77777777" w:rsidTr="001148B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2133DEF" w14:textId="4A74EB4E" w:rsidR="00E0694E" w:rsidRPr="00E0694E" w:rsidRDefault="00E0694E" w:rsidP="001148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Source Description:</w:t>
            </w:r>
            <w:r w:rsidRP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>Provide a short description of the database or data system</w:t>
            </w:r>
            <w:r w:rsidR="006C4B8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 SEA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</w:t>
            </w:r>
            <w:r w:rsidR="006C4B83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to process data for this indicator.</w:t>
            </w:r>
            <w:r w:rsidRPr="00E0694E" w:rsidDel="0095278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="00E0694E" w:rsidRPr="00E0694E" w14:paraId="5764B447" w14:textId="77777777" w:rsidTr="001148B3">
        <w:trPr>
          <w:cantSplit/>
          <w:trHeight w:val="20"/>
        </w:trPr>
        <w:tc>
          <w:tcPr>
            <w:tcW w:w="10070" w:type="dxa"/>
            <w:shd w:val="clear" w:color="auto" w:fill="9EBAE2"/>
          </w:tcPr>
          <w:p w14:paraId="095C8DF2" w14:textId="018D3F06" w:rsidR="00E0694E" w:rsidRPr="00E0694E" w:rsidRDefault="00E0694E" w:rsidP="001148B3">
            <w:pPr>
              <w:keepNext/>
              <w:spacing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0694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Data to be taken from state monitoring or state data system and must be based on actual, not an average, number of days. </w:t>
            </w:r>
            <w:r w:rsidR="00A20953" w:rsidRPr="00A20953">
              <w:rPr>
                <w:rFonts w:asciiTheme="minorHAnsi" w:hAnsiTheme="minorHAnsi" w:cstheme="minorHAnsi"/>
                <w:sz w:val="20"/>
              </w:rPr>
              <w:t>Indicate if the State has established a timeline and, if so, what is the State’s timeline for initial evaluations?</w:t>
            </w:r>
          </w:p>
          <w:p w14:paraId="36E6A8D2" w14:textId="79EF7DAA" w:rsidR="00E0694E" w:rsidRPr="00B93A9E" w:rsidRDefault="00E0694E" w:rsidP="001148B3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93A9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If data are from State monitoring, describe the method used </w:t>
            </w:r>
            <w:r w:rsidR="00B93A9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to select LEAs for monitoring. </w:t>
            </w:r>
            <w:r w:rsidRPr="00B93A9E">
              <w:rPr>
                <w:rFonts w:asciiTheme="minorHAnsi" w:hAnsiTheme="minorHAnsi" w:cstheme="minorHAnsi"/>
                <w:color w:val="000000" w:themeColor="text1"/>
                <w:sz w:val="20"/>
              </w:rPr>
              <w:t>If data are from a State database, include data for the entire reporting year.</w:t>
            </w:r>
          </w:p>
          <w:p w14:paraId="6D13D672" w14:textId="78BDF65D" w:rsidR="00270202" w:rsidRPr="00E0694E" w:rsidRDefault="00E0694E" w:rsidP="001148B3">
            <w:pPr>
              <w:keepNext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0694E">
              <w:rPr>
                <w:rFonts w:asciiTheme="minorHAnsi" w:hAnsiTheme="minorHAnsi" w:cstheme="minorHAnsi"/>
                <w:color w:val="000000" w:themeColor="text1"/>
                <w:sz w:val="20"/>
              </w:rPr>
              <w:t>Describe the method used to collect these data, and if data are from the State’s monitoring, describe the procedures used to collect these data.</w:t>
            </w:r>
          </w:p>
        </w:tc>
      </w:tr>
      <w:tr w:rsidR="00E0694E" w:rsidRPr="00E0694E" w14:paraId="6A05A809" w14:textId="77777777" w:rsidTr="001148B3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5A39BBE3" w14:textId="77777777" w:rsidR="00E0694E" w:rsidRPr="00E0694E" w:rsidRDefault="00E0694E" w:rsidP="00114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55D1FF03" w14:textId="77777777" w:rsidTr="001148B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E5299F7" w14:textId="479672DC" w:rsidR="00E0694E" w:rsidRPr="00E0694E" w:rsidRDefault="00E0694E" w:rsidP="001148B3">
            <w:pPr>
              <w:keepNext/>
              <w:tabs>
                <w:tab w:val="left" w:pos="657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State Collection and Submission Schedule: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a list of dates necessary for this data collection, including when the data collection period opens, when data are due from the local education agencies (LEAs), and when assigned </w:t>
            </w:r>
            <w:r w:rsidR="00D81E5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>staff pull the data after the collection closes.</w:t>
            </w:r>
          </w:p>
        </w:tc>
      </w:tr>
      <w:tr w:rsidR="00E0694E" w:rsidRPr="00E0694E" w14:paraId="41C8F396" w14:textId="77777777" w:rsidTr="001148B3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2A3D3EC" w14:textId="77777777" w:rsidR="00E0694E" w:rsidRPr="00E0694E" w:rsidRDefault="00E0694E" w:rsidP="001148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0E27B00A" w14:textId="77777777" w:rsidR="00E0694E" w:rsidRPr="00E0694E" w:rsidRDefault="00E0694E" w:rsidP="00E0694E">
      <w:pPr>
        <w:spacing w:line="240" w:lineRule="auto"/>
        <w:rPr>
          <w:rFonts w:asciiTheme="minorHAnsi" w:hAnsiTheme="minorHAnsi" w:cstheme="minorHAnsi"/>
          <w:b/>
          <w:color w:val="199387"/>
          <w:sz w:val="40"/>
        </w:rPr>
      </w:pPr>
      <w:r w:rsidRPr="00E0694E">
        <w:rPr>
          <w:rFonts w:asciiTheme="minorHAnsi" w:hAnsiTheme="minorHAnsi" w:cstheme="minorHAnsi"/>
          <w:b/>
          <w:color w:val="199387"/>
          <w:sz w:val="40"/>
        </w:rPr>
        <w:br w:type="page"/>
      </w:r>
    </w:p>
    <w:p w14:paraId="2E4BAEC0" w14:textId="77777777" w:rsidR="00E0694E" w:rsidRPr="00A20953" w:rsidRDefault="00E0694E" w:rsidP="00E0694E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A20953">
        <w:rPr>
          <w:rFonts w:asciiTheme="minorHAnsi" w:hAnsiTheme="minorHAnsi" w:cstheme="minorHAnsi"/>
          <w:color w:val="01579B"/>
          <w:sz w:val="40"/>
          <w:szCs w:val="40"/>
        </w:rPr>
        <w:lastRenderedPageBreak/>
        <w:t>Processes</w:t>
      </w:r>
    </w:p>
    <w:tbl>
      <w:tblPr>
        <w:tblStyle w:val="TableGrid"/>
        <w:tblW w:w="10080" w:type="dxa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0694E" w:rsidRPr="00E0694E" w14:paraId="03402BEC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493A52A2" w14:textId="3C901E32" w:rsidR="00E0694E" w:rsidRPr="00E0694E" w:rsidRDefault="00E0694E" w:rsidP="00E0694E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Collection: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detailed information about the origin and collection of the data including</w:t>
            </w:r>
            <w:r w:rsid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titles of persons responsible.</w:t>
            </w:r>
          </w:p>
        </w:tc>
      </w:tr>
      <w:tr w:rsidR="00E0694E" w:rsidRPr="00E0694E" w14:paraId="60061E4C" w14:textId="77777777" w:rsidTr="1C1D63A9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44EAFD9C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263AA0C8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1EDF5A10" w14:textId="30CE7CCE" w:rsidR="00E0694E" w:rsidRPr="00E0694E" w:rsidRDefault="00E0694E" w:rsidP="00D81E59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Validation:</w:t>
            </w:r>
            <w:r w:rsidR="00A20953" w:rsidRP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data cleaning processes and any other processes </w:t>
            </w:r>
            <w:r w:rsidR="00D81E59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ensure high-quality data.</w:t>
            </w:r>
          </w:p>
        </w:tc>
      </w:tr>
      <w:tr w:rsidR="00E0694E" w:rsidRPr="00E0694E" w14:paraId="4B94D5A5" w14:textId="77777777" w:rsidTr="1C1D63A9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DEEC669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3B4DA821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6E857FD1" w14:textId="77777777" w:rsidR="00E0694E" w:rsidRPr="00E0694E" w:rsidRDefault="00E0694E" w:rsidP="00E0694E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Analysis: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2"/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process for data analysis. </w:t>
            </w:r>
          </w:p>
        </w:tc>
      </w:tr>
      <w:tr w:rsidR="00E0694E" w:rsidRPr="00E0694E" w14:paraId="3656B9AB" w14:textId="77777777" w:rsidTr="1C1D63A9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45FB0818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66AC0897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46037052" w14:textId="058B8731" w:rsidR="00E0694E" w:rsidRPr="00E0694E" w:rsidRDefault="00E0694E" w:rsidP="00E0694E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Response to OSEP-Required Actions:</w:t>
            </w:r>
            <w:r w:rsidRP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procedures for reviewing Office of Special Education Programs (OSEP) feedback. Following the release of the OSEP determination, indicate who reviews OSEP feedback and how assigned </w:t>
            </w:r>
            <w:r w:rsidR="00D81E5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>staff make the plan to address concerns and create a response.</w:t>
            </w:r>
          </w:p>
        </w:tc>
      </w:tr>
      <w:tr w:rsidR="00E0694E" w:rsidRPr="00E0694E" w14:paraId="049F31CB" w14:textId="77777777" w:rsidTr="1C1D63A9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53128261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2525F7E1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48075AA6" w14:textId="61A9681B" w:rsidR="00E0694E" w:rsidRPr="00E0694E" w:rsidRDefault="1C1D63A9" w:rsidP="00404D1D">
            <w:pPr>
              <w:keepNext/>
              <w:spacing w:line="280" w:lineRule="atLeast"/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</w:pPr>
            <w:r w:rsidRPr="1C1D63A9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  <w:t xml:space="preserve">Report on Correction of Identified Noncompliance Reported in the Previous </w:t>
            </w:r>
            <w:r w:rsidR="00270202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  <w:t>SPP/</w:t>
            </w:r>
            <w:r w:rsidRPr="1C1D63A9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  <w:t>APR:</w:t>
            </w:r>
            <w:r w:rsidRPr="00A20953">
              <w:rPr>
                <w:rFonts w:asciiTheme="minorHAnsi" w:hAnsiTheme="minorHAnsi" w:cstheme="minorBidi"/>
                <w:bCs/>
                <w:color w:val="FFFFFF" w:themeColor="background1"/>
                <w:sz w:val="20"/>
              </w:rPr>
              <w:t xml:space="preserve"> </w:t>
            </w:r>
            <w:r w:rsidRPr="1C1D63A9">
              <w:rPr>
                <w:rFonts w:asciiTheme="minorHAnsi" w:hAnsiTheme="minorHAnsi" w:cstheme="minorBidi"/>
                <w:color w:val="FFFFFF" w:themeColor="background1"/>
                <w:sz w:val="20"/>
              </w:rPr>
              <w:t>Describe the databases, sources, and persons responsible for conducting the verification of correction reported in the previous SPP/APR.</w:t>
            </w:r>
            <w:r w:rsid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 </w:t>
            </w:r>
            <w:r w:rsidR="00270202"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>If the S</w:t>
            </w:r>
            <w:r w:rsidR="00404D1D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EA </w:t>
            </w:r>
            <w:r w:rsidR="00270202"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reported less than 100% compliance for the previous reporting period (e.g., for the FFY </w:t>
            </w:r>
            <w:r w:rsidR="00D81E59">
              <w:rPr>
                <w:rFonts w:asciiTheme="minorHAnsi" w:hAnsiTheme="minorHAnsi" w:cstheme="minorBidi"/>
                <w:color w:val="FFFFFF" w:themeColor="background1"/>
                <w:sz w:val="20"/>
              </w:rPr>
              <w:t>202</w:t>
            </w:r>
            <w:r w:rsidR="00063731">
              <w:rPr>
                <w:rFonts w:asciiTheme="minorHAnsi" w:hAnsiTheme="minorHAnsi" w:cstheme="minorBidi"/>
                <w:color w:val="FFFFFF" w:themeColor="background1"/>
                <w:sz w:val="20"/>
              </w:rPr>
              <w:t>0</w:t>
            </w:r>
            <w:r w:rsidR="00D81E59"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 </w:t>
            </w:r>
            <w:r w:rsidR="00270202"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SPP/APR, the data for FFY </w:t>
            </w:r>
            <w:r w:rsidR="00D81E59">
              <w:rPr>
                <w:rFonts w:asciiTheme="minorHAnsi" w:hAnsiTheme="minorHAnsi" w:cstheme="minorBidi"/>
                <w:color w:val="FFFFFF" w:themeColor="background1"/>
                <w:sz w:val="20"/>
              </w:rPr>
              <w:t>2019</w:t>
            </w:r>
            <w:r w:rsidR="00404D1D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), and the SEA </w:t>
            </w:r>
            <w:r w:rsidR="00270202"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>did not identify any findings of noncompliance, pro</w:t>
            </w:r>
            <w:r w:rsidR="00404D1D">
              <w:rPr>
                <w:rFonts w:asciiTheme="minorHAnsi" w:hAnsiTheme="minorHAnsi" w:cstheme="minorBidi"/>
                <w:color w:val="FFFFFF" w:themeColor="background1"/>
                <w:sz w:val="20"/>
              </w:rPr>
              <w:t>vide an explanation of why the s</w:t>
            </w:r>
            <w:r w:rsidR="00270202" w:rsidRPr="00270202">
              <w:rPr>
                <w:rFonts w:asciiTheme="minorHAnsi" w:hAnsiTheme="minorHAnsi" w:cstheme="minorBidi"/>
                <w:color w:val="FFFFFF" w:themeColor="background1"/>
                <w:sz w:val="20"/>
              </w:rPr>
              <w:t>tate did not identify any findings of noncompliance.</w:t>
            </w:r>
          </w:p>
        </w:tc>
      </w:tr>
      <w:tr w:rsidR="00E0694E" w:rsidRPr="00E0694E" w14:paraId="62486C05" w14:textId="77777777" w:rsidTr="1C1D63A9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4101652C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20DB86D6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7ACC0760" w14:textId="77777777" w:rsidR="00E0694E" w:rsidRPr="00E0694E" w:rsidRDefault="00E0694E" w:rsidP="00E0694E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Internal Approval Process:</w:t>
            </w:r>
            <w:r w:rsidRP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any internal approval processes (e.g., who must sign off, timelines).</w:t>
            </w:r>
            <w:r w:rsidRPr="00E0694E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E0694E" w:rsidRPr="00E0694E" w14:paraId="4B99056E" w14:textId="77777777" w:rsidTr="1C1D63A9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1299C43A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7ADE591F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2BF4750C" w14:textId="74ECC6F9" w:rsidR="00E0694E" w:rsidRPr="00E0694E" w:rsidRDefault="1C1D63A9" w:rsidP="1C1D63A9">
            <w:pPr>
              <w:keepNext/>
              <w:spacing w:line="280" w:lineRule="atLeast"/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</w:pPr>
            <w:r w:rsidRPr="1C1D63A9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  <w:t>Submission:</w:t>
            </w:r>
            <w:r w:rsidRPr="00A20953">
              <w:rPr>
                <w:rFonts w:asciiTheme="minorHAnsi" w:hAnsiTheme="minorHAnsi" w:cstheme="minorBidi"/>
                <w:bCs/>
                <w:color w:val="FFFFFF" w:themeColor="background1"/>
                <w:sz w:val="20"/>
              </w:rPr>
              <w:t xml:space="preserve"> </w:t>
            </w:r>
            <w:r w:rsidRPr="1C1D63A9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Describe </w:t>
            </w:r>
            <w:r w:rsidR="00782555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the </w:t>
            </w:r>
            <w:r w:rsidRPr="1C1D63A9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process for entering the data and analyses into </w:t>
            </w:r>
            <w:r w:rsidR="005409C6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the </w:t>
            </w:r>
            <w:r w:rsidR="003B5123" w:rsidRPr="00D81E59">
              <w:rPr>
                <w:rFonts w:asciiTheme="minorHAnsi" w:hAnsiTheme="minorHAnsi" w:cstheme="minorBidi"/>
                <w:color w:val="FFFFFF" w:themeColor="background1"/>
                <w:sz w:val="20"/>
              </w:rPr>
              <w:t>online</w:t>
            </w:r>
            <w:r w:rsidR="00270202" w:rsidRPr="00D81E59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 SPP/APR</w:t>
            </w:r>
            <w:r w:rsidR="00D81E59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 submission tool</w:t>
            </w:r>
            <w:r w:rsidR="00270202" w:rsidRPr="00D81E59">
              <w:rPr>
                <w:rFonts w:asciiTheme="minorHAnsi" w:hAnsiTheme="minorHAnsi" w:cstheme="minorBidi"/>
                <w:color w:val="FFFFFF" w:themeColor="background1"/>
                <w:sz w:val="20"/>
              </w:rPr>
              <w:t>.</w:t>
            </w:r>
            <w:r w:rsidRPr="1C1D63A9">
              <w:rPr>
                <w:rFonts w:asciiTheme="minorHAnsi" w:hAnsiTheme="minorHAnsi" w:cstheme="minorBidi"/>
                <w:color w:val="FFFFFF" w:themeColor="background1"/>
                <w:sz w:val="20"/>
              </w:rPr>
              <w:t xml:space="preserve"> Include information about the person authorized to certify the final report.</w:t>
            </w:r>
          </w:p>
        </w:tc>
      </w:tr>
      <w:tr w:rsidR="00E0694E" w:rsidRPr="00E0694E" w14:paraId="4DDBEF00" w14:textId="77777777" w:rsidTr="1C1D63A9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3461D779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5E1B2A26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495FD68A" w14:textId="0816A560" w:rsidR="00E0694E" w:rsidRPr="00E0694E" w:rsidRDefault="00E0694E" w:rsidP="00D81E59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Clarification:</w:t>
            </w:r>
            <w:r w:rsidRPr="00A20953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3"/>
            </w:r>
            <w:r w:rsidRP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</w:t>
            </w:r>
            <w:r w:rsidR="00D81E59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prepare a response to OSEP’s request for clarification.</w:t>
            </w:r>
          </w:p>
        </w:tc>
      </w:tr>
      <w:tr w:rsidR="00E0694E" w:rsidRPr="00E0694E" w14:paraId="3CF2D8B6" w14:textId="77777777" w:rsidTr="1C1D63A9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0FB78278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134B6234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7C6C1A11" w14:textId="5BE0931B" w:rsidR="00E0694E" w:rsidRPr="00E0694E" w:rsidRDefault="00E0694E" w:rsidP="00E0694E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Governance:</w:t>
            </w:r>
            <w:r w:rsidRP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for reviewing potential or actual future changes to the data collection and associated requirements</w:t>
            </w:r>
            <w:r w:rsidR="002965F7" w:rsidRPr="00E069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E0694E" w:rsidRPr="00E0694E" w14:paraId="1FC39945" w14:textId="77777777" w:rsidTr="1C1D63A9">
        <w:trPr>
          <w:cantSplit/>
          <w:trHeight w:val="20"/>
        </w:trPr>
        <w:tc>
          <w:tcPr>
            <w:tcW w:w="10080" w:type="dxa"/>
            <w:shd w:val="clear" w:color="auto" w:fill="auto"/>
          </w:tcPr>
          <w:p w14:paraId="0562CB0E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0694E" w:rsidRPr="00E0694E" w14:paraId="2B0F9C9A" w14:textId="77777777" w:rsidTr="1C1D63A9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029084F7" w14:textId="1BCEDF2A" w:rsidR="00E0694E" w:rsidRPr="00E0694E" w:rsidRDefault="00E0694E" w:rsidP="00B93A9E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0694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Public Reporting:</w:t>
            </w:r>
            <w:r w:rsidRPr="00A2095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5409C6" w:rsidRPr="005409C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and format for publicly reporting the performance of each LEA against the target of the state’s SPP/APR. Note where the </w:t>
            </w:r>
            <w:r w:rsidR="00D81E5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="005409C6" w:rsidRPr="005409C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posts the </w:t>
            </w:r>
            <w:r w:rsidR="00B93A9E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="005409C6" w:rsidRPr="005409C6">
              <w:rPr>
                <w:rFonts w:asciiTheme="minorHAnsi" w:hAnsiTheme="minorHAnsi" w:cstheme="minorHAnsi"/>
                <w:color w:val="FFFFFF" w:themeColor="background1"/>
                <w:sz w:val="20"/>
              </w:rPr>
              <w:t>tate's SPP/APR and the performance of the LEAs against the state targets.</w:t>
            </w:r>
          </w:p>
        </w:tc>
      </w:tr>
      <w:tr w:rsidR="00E0694E" w:rsidRPr="00E0694E" w14:paraId="34CE0A41" w14:textId="77777777" w:rsidTr="1C1D63A9">
        <w:trPr>
          <w:cantSplit/>
          <w:trHeight w:val="20"/>
        </w:trPr>
        <w:tc>
          <w:tcPr>
            <w:tcW w:w="10080" w:type="dxa"/>
          </w:tcPr>
          <w:p w14:paraId="62EBF3C5" w14:textId="77777777" w:rsidR="00E0694E" w:rsidRPr="00E0694E" w:rsidRDefault="00E0694E" w:rsidP="00E0694E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6D98A12B" w14:textId="77777777" w:rsidR="00E0694E" w:rsidRPr="00E0694E" w:rsidRDefault="00E0694E" w:rsidP="00E0694E">
      <w:pPr>
        <w:spacing w:line="240" w:lineRule="auto"/>
        <w:contextualSpacing/>
        <w:rPr>
          <w:rFonts w:asciiTheme="minorHAnsi" w:hAnsiTheme="minorHAnsi" w:cstheme="minorHAnsi"/>
          <w:color w:val="030A13"/>
          <w:szCs w:val="24"/>
          <w:shd w:val="clear" w:color="auto" w:fill="FFFFFF"/>
        </w:rPr>
      </w:pPr>
    </w:p>
    <w:sectPr w:rsidR="00E0694E" w:rsidRPr="00E0694E" w:rsidSect="009C07B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B773" w14:textId="77777777" w:rsidR="0009535C" w:rsidRDefault="0009535C">
      <w:pPr>
        <w:spacing w:line="240" w:lineRule="auto"/>
      </w:pPr>
      <w:r>
        <w:separator/>
      </w:r>
    </w:p>
  </w:endnote>
  <w:endnote w:type="continuationSeparator" w:id="0">
    <w:p w14:paraId="798F9B48" w14:textId="77777777" w:rsidR="0009535C" w:rsidRDefault="00095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F122" w14:textId="0C38CDB6" w:rsidR="001148B3" w:rsidRPr="00C669F1" w:rsidRDefault="0009535C" w:rsidP="001148B3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proofErr w:type="spellStart"/>
      <w:r w:rsidR="001148B3" w:rsidRPr="005A143D">
        <w:rPr>
          <w:rStyle w:val="Hyperlink"/>
          <w:rFonts w:asciiTheme="minorHAnsi" w:hAnsiTheme="minorHAnsi" w:cstheme="minorHAnsi"/>
          <w:color w:val="0563C1"/>
          <w:sz w:val="20"/>
        </w:rPr>
        <w:t>www.ideadata.org</w:t>
      </w:r>
      <w:proofErr w:type="spellEnd"/>
      <w:r w:rsidR="001148B3" w:rsidRPr="005A143D">
        <w:rPr>
          <w:rStyle w:val="Hyperlink"/>
          <w:rFonts w:asciiTheme="minorHAnsi" w:hAnsiTheme="minorHAnsi" w:cstheme="minorHAnsi"/>
          <w:color w:val="0563C1"/>
          <w:sz w:val="20"/>
        </w:rPr>
        <w:t>/sea-data-processes-toolkit</w:t>
      </w:r>
    </w:hyperlink>
    <w:r w:rsidR="001148B3" w:rsidRPr="00C669F1">
      <w:rPr>
        <w:rFonts w:asciiTheme="minorHAnsi" w:hAnsiTheme="minorHAnsi" w:cstheme="minorHAnsi"/>
        <w:color w:val="000000" w:themeColor="text1"/>
        <w:sz w:val="20"/>
      </w:rPr>
      <w:tab/>
    </w:r>
    <w:r w:rsidR="001148B3" w:rsidRPr="00C669F1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1148B3" w:rsidRPr="00C669F1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1148B3" w:rsidRPr="00C669F1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B71E2C">
      <w:rPr>
        <w:rFonts w:asciiTheme="minorHAnsi" w:hAnsiTheme="minorHAnsi" w:cstheme="minorHAnsi"/>
        <w:noProof/>
        <w:color w:val="000000" w:themeColor="text1"/>
        <w:sz w:val="20"/>
      </w:rPr>
      <w:t>4</w:t>
    </w:r>
    <w:r w:rsidR="001148B3" w:rsidRPr="00C669F1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EF78" w14:textId="7C7F2656" w:rsidR="001148B3" w:rsidRPr="00C669F1" w:rsidRDefault="0009535C" w:rsidP="001148B3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proofErr w:type="spellStart"/>
      <w:r w:rsidR="001148B3" w:rsidRPr="005A143D">
        <w:rPr>
          <w:rStyle w:val="Hyperlink"/>
          <w:rFonts w:asciiTheme="minorHAnsi" w:hAnsiTheme="minorHAnsi" w:cstheme="minorHAnsi"/>
          <w:color w:val="0563C1"/>
          <w:sz w:val="20"/>
        </w:rPr>
        <w:t>www.ideadata.org</w:t>
      </w:r>
      <w:proofErr w:type="spellEnd"/>
      <w:r w:rsidR="001148B3" w:rsidRPr="005A143D">
        <w:rPr>
          <w:rStyle w:val="Hyperlink"/>
          <w:rFonts w:asciiTheme="minorHAnsi" w:hAnsiTheme="minorHAnsi" w:cstheme="minorHAnsi"/>
          <w:color w:val="0563C1"/>
          <w:sz w:val="20"/>
        </w:rPr>
        <w:t>/sea-data-processes-toolkit</w:t>
      </w:r>
    </w:hyperlink>
    <w:r w:rsidR="001148B3" w:rsidRPr="00C669F1">
      <w:rPr>
        <w:rFonts w:asciiTheme="minorHAnsi" w:hAnsiTheme="minorHAnsi" w:cstheme="minorHAnsi"/>
        <w:color w:val="000000" w:themeColor="text1"/>
        <w:sz w:val="20"/>
      </w:rPr>
      <w:tab/>
    </w:r>
    <w:r w:rsidR="001148B3" w:rsidRPr="00C669F1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1148B3" w:rsidRPr="00C669F1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1148B3" w:rsidRPr="00C669F1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B71E2C">
      <w:rPr>
        <w:rFonts w:asciiTheme="minorHAnsi" w:hAnsiTheme="minorHAnsi" w:cstheme="minorHAnsi"/>
        <w:noProof/>
        <w:color w:val="000000" w:themeColor="text1"/>
        <w:sz w:val="20"/>
      </w:rPr>
      <w:t>1</w:t>
    </w:r>
    <w:r w:rsidR="001148B3" w:rsidRPr="00C669F1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FD5A" w14:textId="77777777" w:rsidR="0009535C" w:rsidRDefault="0009535C" w:rsidP="001148B3">
      <w:pPr>
        <w:spacing w:line="240" w:lineRule="auto"/>
      </w:pPr>
      <w:r>
        <w:separator/>
      </w:r>
    </w:p>
  </w:footnote>
  <w:footnote w:type="continuationSeparator" w:id="0">
    <w:p w14:paraId="2D40D5BC" w14:textId="77777777" w:rsidR="0009535C" w:rsidRDefault="0009535C">
      <w:pPr>
        <w:spacing w:line="240" w:lineRule="auto"/>
      </w:pPr>
      <w:r>
        <w:continuationSeparator/>
      </w:r>
    </w:p>
  </w:footnote>
  <w:footnote w:id="1">
    <w:p w14:paraId="2CB48ABF" w14:textId="51AC4CDF" w:rsidR="00E0694E" w:rsidRPr="00E0694E" w:rsidRDefault="00E0694E" w:rsidP="001148B3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694E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0694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E0694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Measurement</w:t>
      </w:r>
      <w:r w:rsidRPr="00005AD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  <w:r w:rsidRPr="00005AD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005ADC" w:rsidRPr="00005ADC">
        <w:rPr>
          <w:rFonts w:asciiTheme="minorHAnsi" w:hAnsiTheme="minorHAnsi" w:cstheme="minorHAnsi"/>
          <w:sz w:val="18"/>
          <w:szCs w:val="18"/>
        </w:rPr>
        <w:t>Part B State Performance Plan (SPP) and Annual Performance Report (APR) Part B Indicator Measurement Table: Fo</w:t>
      </w:r>
      <w:r w:rsidR="00B01AE2">
        <w:rPr>
          <w:rFonts w:asciiTheme="minorHAnsi" w:hAnsiTheme="minorHAnsi" w:cstheme="minorHAnsi"/>
          <w:sz w:val="18"/>
          <w:szCs w:val="18"/>
        </w:rPr>
        <w:t>r Federal Fiscal Year (FFY) 2020</w:t>
      </w:r>
      <w:r w:rsidR="00005ADC" w:rsidRPr="00005ADC">
        <w:rPr>
          <w:rFonts w:asciiTheme="minorHAnsi" w:hAnsiTheme="minorHAnsi" w:cstheme="minorHAnsi"/>
          <w:sz w:val="18"/>
          <w:szCs w:val="18"/>
        </w:rPr>
        <w:t xml:space="preserve"> Submission</w:t>
      </w:r>
      <w:r w:rsidRPr="00005ADC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2">
    <w:p w14:paraId="2EC292C5" w14:textId="4F01E644" w:rsidR="00E0694E" w:rsidRPr="009C07B5" w:rsidRDefault="00E0694E" w:rsidP="001148B3">
      <w:pPr>
        <w:pStyle w:val="SL-FlLftSgl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C07B5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9C07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E0694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Data Analysis:</w:t>
      </w:r>
      <w:r w:rsidRPr="009C07B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Review data year to year, looking for patterns statewide and within LEAs, outliers, </w:t>
      </w:r>
      <w:r w:rsidR="00A2095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information about whether targets are </w:t>
      </w:r>
      <w:r w:rsidR="00B71E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met or </w:t>
      </w:r>
      <w:r w:rsidRPr="009C07B5">
        <w:rPr>
          <w:rFonts w:asciiTheme="minorHAnsi" w:hAnsiTheme="minorHAnsi" w:cstheme="minorHAnsi"/>
          <w:color w:val="000000" w:themeColor="text1"/>
          <w:sz w:val="18"/>
          <w:szCs w:val="18"/>
        </w:rPr>
        <w:t>not met, and slippage.</w:t>
      </w:r>
    </w:p>
  </w:footnote>
  <w:footnote w:id="3">
    <w:p w14:paraId="1F18ABB4" w14:textId="1C6C6A90" w:rsidR="00E0694E" w:rsidRPr="002965F7" w:rsidRDefault="00E0694E" w:rsidP="001148B3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0694E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0694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Clarification</w:t>
      </w:r>
      <w:r w:rsidRPr="002965F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  <w:r w:rsidRPr="002965F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965F7" w:rsidRPr="002965F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OSEP generally sends clarification requests to SEAs about 60 days </w:t>
      </w:r>
      <w:proofErr w:type="spellStart"/>
      <w:r w:rsidR="002965F7" w:rsidRPr="002965F7">
        <w:rPr>
          <w:rFonts w:asciiTheme="minorHAnsi" w:hAnsiTheme="minorHAnsi" w:cstheme="minorHAnsi"/>
          <w:color w:val="000000" w:themeColor="text1"/>
          <w:sz w:val="18"/>
          <w:szCs w:val="18"/>
        </w:rPr>
        <w:t>postsubmission</w:t>
      </w:r>
      <w:proofErr w:type="spellEnd"/>
      <w:r w:rsidR="002965F7" w:rsidRPr="002965F7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52C3" w14:textId="77777777" w:rsidR="001148B3" w:rsidRPr="003F6AEC" w:rsidRDefault="001148B3" w:rsidP="002C430E">
    <w:pPr>
      <w:pBdr>
        <w:bottom w:val="single" w:sz="4" w:space="9" w:color="0A0A0A"/>
      </w:pBdr>
      <w:tabs>
        <w:tab w:val="center" w:pos="4680"/>
        <w:tab w:val="right" w:pos="9360"/>
      </w:tabs>
      <w:ind w:left="14" w:right="14"/>
      <w:rPr>
        <w:rFonts w:ascii="Calibri" w:eastAsia="Calibri" w:hAnsi="Calibri" w:cs="Calibri"/>
        <w:color w:val="0A0A0A"/>
        <w:sz w:val="16"/>
        <w:szCs w:val="24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6B27D1D0" wp14:editId="71A903A2">
          <wp:simplePos x="0" y="0"/>
          <wp:positionH relativeFrom="margin">
            <wp:posOffset>5702060</wp:posOffset>
          </wp:positionH>
          <wp:positionV relativeFrom="margin">
            <wp:posOffset>-1310353</wp:posOffset>
          </wp:positionV>
          <wp:extent cx="709930" cy="4572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9F1">
      <w:rPr>
        <w:rFonts w:asciiTheme="minorHAnsi" w:hAnsiTheme="minorHAnsi" w:cstheme="minorHAnsi"/>
        <w:noProof/>
        <w:color w:val="000000" w:themeColor="text1"/>
        <w:sz w:val="16"/>
        <w:szCs w:val="16"/>
      </w:rPr>
      <w:t>SEA Data Processes Toolkit</w:t>
    </w:r>
  </w:p>
  <w:p w14:paraId="4A25CDE0" w14:textId="77777777" w:rsidR="009C07B5" w:rsidRPr="00A20953" w:rsidRDefault="00E0694E" w:rsidP="002C430E">
    <w:pPr>
      <w:pStyle w:val="Header"/>
      <w:pBdr>
        <w:bottom w:val="single" w:sz="18" w:space="8" w:color="26847A"/>
      </w:pBdr>
      <w:tabs>
        <w:tab w:val="right" w:pos="10800"/>
      </w:tabs>
      <w:spacing w:before="240"/>
      <w:ind w:left="14" w:right="14"/>
      <w:jc w:val="center"/>
      <w:rPr>
        <w:rFonts w:asciiTheme="minorHAnsi" w:hAnsiTheme="minorHAnsi"/>
        <w:b/>
        <w:color w:val="01579B"/>
        <w:sz w:val="32"/>
        <w:szCs w:val="32"/>
      </w:rPr>
    </w:pPr>
    <w:r w:rsidRPr="00A20953">
      <w:rPr>
        <w:rFonts w:asciiTheme="minorHAnsi" w:hAnsiTheme="minorHAnsi"/>
        <w:b/>
        <w:color w:val="01579B"/>
        <w:sz w:val="32"/>
        <w:szCs w:val="32"/>
      </w:rPr>
      <w:t>Data Collection Protocol—Indicator 11. Child Find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503739C2" w:rsidR="00952784" w:rsidRDefault="00E0694E" w:rsidP="001148B3">
    <w:pPr>
      <w:pStyle w:val="SL-FlLftSgl"/>
    </w:pPr>
    <w:r>
      <w:rPr>
        <w:noProof/>
      </w:rPr>
      <w:drawing>
        <wp:inline distT="0" distB="0" distL="0" distR="0" wp14:anchorId="317058A0" wp14:editId="3E04C406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cator 11. Child Find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4E"/>
    <w:rsid w:val="00001A51"/>
    <w:rsid w:val="00005ADC"/>
    <w:rsid w:val="00030D86"/>
    <w:rsid w:val="00034382"/>
    <w:rsid w:val="000350E9"/>
    <w:rsid w:val="00036AF4"/>
    <w:rsid w:val="00043871"/>
    <w:rsid w:val="000447C2"/>
    <w:rsid w:val="00047085"/>
    <w:rsid w:val="00051CB9"/>
    <w:rsid w:val="00051FAB"/>
    <w:rsid w:val="00057925"/>
    <w:rsid w:val="00063731"/>
    <w:rsid w:val="0006498E"/>
    <w:rsid w:val="00066207"/>
    <w:rsid w:val="00073632"/>
    <w:rsid w:val="00073F2D"/>
    <w:rsid w:val="00076495"/>
    <w:rsid w:val="00091A23"/>
    <w:rsid w:val="0009535C"/>
    <w:rsid w:val="000C33DB"/>
    <w:rsid w:val="000D02CD"/>
    <w:rsid w:val="000D51B5"/>
    <w:rsid w:val="000E07BE"/>
    <w:rsid w:val="000F4CFB"/>
    <w:rsid w:val="000F6651"/>
    <w:rsid w:val="00100AE9"/>
    <w:rsid w:val="00101C84"/>
    <w:rsid w:val="001148B3"/>
    <w:rsid w:val="00114C6E"/>
    <w:rsid w:val="00120A6B"/>
    <w:rsid w:val="00121A4A"/>
    <w:rsid w:val="00134EFB"/>
    <w:rsid w:val="00147D20"/>
    <w:rsid w:val="00152B01"/>
    <w:rsid w:val="00156208"/>
    <w:rsid w:val="00157B3E"/>
    <w:rsid w:val="001659AC"/>
    <w:rsid w:val="001768BA"/>
    <w:rsid w:val="00184A10"/>
    <w:rsid w:val="00191646"/>
    <w:rsid w:val="001A10A2"/>
    <w:rsid w:val="001B097C"/>
    <w:rsid w:val="001B6AA1"/>
    <w:rsid w:val="001C69DD"/>
    <w:rsid w:val="001D0187"/>
    <w:rsid w:val="001D0624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31173"/>
    <w:rsid w:val="0023417B"/>
    <w:rsid w:val="00262A5D"/>
    <w:rsid w:val="00266495"/>
    <w:rsid w:val="00267642"/>
    <w:rsid w:val="00270202"/>
    <w:rsid w:val="002747D9"/>
    <w:rsid w:val="00282312"/>
    <w:rsid w:val="002851B1"/>
    <w:rsid w:val="002965F7"/>
    <w:rsid w:val="002A6821"/>
    <w:rsid w:val="002C430E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36364"/>
    <w:rsid w:val="00383C29"/>
    <w:rsid w:val="00397B0B"/>
    <w:rsid w:val="003A03A1"/>
    <w:rsid w:val="003A33F2"/>
    <w:rsid w:val="003A4615"/>
    <w:rsid w:val="003A522C"/>
    <w:rsid w:val="003A6AB6"/>
    <w:rsid w:val="003B5123"/>
    <w:rsid w:val="003B76F0"/>
    <w:rsid w:val="003C3199"/>
    <w:rsid w:val="00404D1D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B3AEF"/>
    <w:rsid w:val="004B3E41"/>
    <w:rsid w:val="004D0D4C"/>
    <w:rsid w:val="004D3719"/>
    <w:rsid w:val="004E7AC1"/>
    <w:rsid w:val="004F094A"/>
    <w:rsid w:val="00517BD9"/>
    <w:rsid w:val="00530479"/>
    <w:rsid w:val="005409C6"/>
    <w:rsid w:val="005444F4"/>
    <w:rsid w:val="00550B0A"/>
    <w:rsid w:val="005534C1"/>
    <w:rsid w:val="005547B9"/>
    <w:rsid w:val="00556C52"/>
    <w:rsid w:val="00566621"/>
    <w:rsid w:val="00575C11"/>
    <w:rsid w:val="00580B23"/>
    <w:rsid w:val="0058747F"/>
    <w:rsid w:val="00593313"/>
    <w:rsid w:val="00596C37"/>
    <w:rsid w:val="005A7983"/>
    <w:rsid w:val="005B7031"/>
    <w:rsid w:val="005D1174"/>
    <w:rsid w:val="005D46D8"/>
    <w:rsid w:val="005D5BBC"/>
    <w:rsid w:val="005E3AA1"/>
    <w:rsid w:val="005E53FF"/>
    <w:rsid w:val="005F33C9"/>
    <w:rsid w:val="005F5509"/>
    <w:rsid w:val="00600416"/>
    <w:rsid w:val="00614494"/>
    <w:rsid w:val="006260F7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C4B83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32F70"/>
    <w:rsid w:val="00741FAB"/>
    <w:rsid w:val="0074389B"/>
    <w:rsid w:val="00770E81"/>
    <w:rsid w:val="00774268"/>
    <w:rsid w:val="0077775D"/>
    <w:rsid w:val="00782555"/>
    <w:rsid w:val="00795760"/>
    <w:rsid w:val="007A4BF5"/>
    <w:rsid w:val="007A6CCC"/>
    <w:rsid w:val="007A76FF"/>
    <w:rsid w:val="007A7CB3"/>
    <w:rsid w:val="007C0946"/>
    <w:rsid w:val="007C2D80"/>
    <w:rsid w:val="00820C97"/>
    <w:rsid w:val="008478CF"/>
    <w:rsid w:val="00850A8B"/>
    <w:rsid w:val="00853851"/>
    <w:rsid w:val="008562F2"/>
    <w:rsid w:val="0086324B"/>
    <w:rsid w:val="008640FF"/>
    <w:rsid w:val="008750B5"/>
    <w:rsid w:val="0088021E"/>
    <w:rsid w:val="008874B0"/>
    <w:rsid w:val="00887EC8"/>
    <w:rsid w:val="00894610"/>
    <w:rsid w:val="00895E95"/>
    <w:rsid w:val="008A5100"/>
    <w:rsid w:val="008A6988"/>
    <w:rsid w:val="008B577C"/>
    <w:rsid w:val="008D3F3F"/>
    <w:rsid w:val="008D45A5"/>
    <w:rsid w:val="00923737"/>
    <w:rsid w:val="00923C66"/>
    <w:rsid w:val="0092602F"/>
    <w:rsid w:val="009355F7"/>
    <w:rsid w:val="00940319"/>
    <w:rsid w:val="00950A60"/>
    <w:rsid w:val="0095362B"/>
    <w:rsid w:val="00964C9E"/>
    <w:rsid w:val="0097142D"/>
    <w:rsid w:val="009871D3"/>
    <w:rsid w:val="00992616"/>
    <w:rsid w:val="00992641"/>
    <w:rsid w:val="009943A4"/>
    <w:rsid w:val="009D254B"/>
    <w:rsid w:val="009F4D28"/>
    <w:rsid w:val="00A06031"/>
    <w:rsid w:val="00A15A6F"/>
    <w:rsid w:val="00A17BA5"/>
    <w:rsid w:val="00A20953"/>
    <w:rsid w:val="00A260B7"/>
    <w:rsid w:val="00A26E08"/>
    <w:rsid w:val="00A36EDE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94D62"/>
    <w:rsid w:val="00AC4DB3"/>
    <w:rsid w:val="00AC64BC"/>
    <w:rsid w:val="00AD5980"/>
    <w:rsid w:val="00AD6A57"/>
    <w:rsid w:val="00AF1251"/>
    <w:rsid w:val="00AF3094"/>
    <w:rsid w:val="00AF69FE"/>
    <w:rsid w:val="00B01AE2"/>
    <w:rsid w:val="00B06CAC"/>
    <w:rsid w:val="00B118D4"/>
    <w:rsid w:val="00B11E90"/>
    <w:rsid w:val="00B231D1"/>
    <w:rsid w:val="00B54406"/>
    <w:rsid w:val="00B55900"/>
    <w:rsid w:val="00B55B95"/>
    <w:rsid w:val="00B67EC9"/>
    <w:rsid w:val="00B70876"/>
    <w:rsid w:val="00B71E2C"/>
    <w:rsid w:val="00B755EB"/>
    <w:rsid w:val="00B84D69"/>
    <w:rsid w:val="00B931B8"/>
    <w:rsid w:val="00B93A9E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612"/>
    <w:rsid w:val="00C61ED2"/>
    <w:rsid w:val="00C72D87"/>
    <w:rsid w:val="00C81152"/>
    <w:rsid w:val="00C85613"/>
    <w:rsid w:val="00C9296E"/>
    <w:rsid w:val="00C9473F"/>
    <w:rsid w:val="00CB6421"/>
    <w:rsid w:val="00CD70C0"/>
    <w:rsid w:val="00CE0A78"/>
    <w:rsid w:val="00CE6820"/>
    <w:rsid w:val="00CF2F50"/>
    <w:rsid w:val="00D026CE"/>
    <w:rsid w:val="00D229C9"/>
    <w:rsid w:val="00D256B0"/>
    <w:rsid w:val="00D302BC"/>
    <w:rsid w:val="00D53987"/>
    <w:rsid w:val="00D564BE"/>
    <w:rsid w:val="00D63563"/>
    <w:rsid w:val="00D81E59"/>
    <w:rsid w:val="00DB4B6E"/>
    <w:rsid w:val="00DB6CEF"/>
    <w:rsid w:val="00DD3478"/>
    <w:rsid w:val="00DD4E06"/>
    <w:rsid w:val="00DE658E"/>
    <w:rsid w:val="00DF435E"/>
    <w:rsid w:val="00E0694E"/>
    <w:rsid w:val="00E11D52"/>
    <w:rsid w:val="00E1521A"/>
    <w:rsid w:val="00E2014C"/>
    <w:rsid w:val="00E20B98"/>
    <w:rsid w:val="00E30E6D"/>
    <w:rsid w:val="00E314C7"/>
    <w:rsid w:val="00E33761"/>
    <w:rsid w:val="00E3715B"/>
    <w:rsid w:val="00E505E1"/>
    <w:rsid w:val="00E5419F"/>
    <w:rsid w:val="00E5503C"/>
    <w:rsid w:val="00E6096F"/>
    <w:rsid w:val="00E62BCD"/>
    <w:rsid w:val="00E65595"/>
    <w:rsid w:val="00E70DFB"/>
    <w:rsid w:val="00E90931"/>
    <w:rsid w:val="00E976F7"/>
    <w:rsid w:val="00EA63F0"/>
    <w:rsid w:val="00EA6750"/>
    <w:rsid w:val="00EC17B6"/>
    <w:rsid w:val="00EC5256"/>
    <w:rsid w:val="00ED2550"/>
    <w:rsid w:val="00ED3B35"/>
    <w:rsid w:val="00EE593E"/>
    <w:rsid w:val="00EF4608"/>
    <w:rsid w:val="00F06A7C"/>
    <w:rsid w:val="00F075C7"/>
    <w:rsid w:val="00F26EC3"/>
    <w:rsid w:val="00F34190"/>
    <w:rsid w:val="00F532EB"/>
    <w:rsid w:val="00F54A25"/>
    <w:rsid w:val="00F72113"/>
    <w:rsid w:val="00F73873"/>
    <w:rsid w:val="00F7603A"/>
    <w:rsid w:val="00F8789A"/>
    <w:rsid w:val="00FB2FBC"/>
    <w:rsid w:val="00FD2B82"/>
    <w:rsid w:val="00FF1233"/>
    <w:rsid w:val="00FF1595"/>
    <w:rsid w:val="00FF3CD7"/>
    <w:rsid w:val="0F0A3A78"/>
    <w:rsid w:val="1C1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C5C6E"/>
  <w15:chartTrackingRefBased/>
  <w15:docId w15:val="{8A581A86-D574-4CB8-8F77-8D739A3B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link w:val="C2-CtrSglSpChar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E0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-CtrSglSpChar">
    <w:name w:val="C2-Ctr Sgl Sp Char"/>
    <w:basedOn w:val="DefaultParagraphFont"/>
    <w:link w:val="C2-CtrSglSp"/>
    <w:rsid w:val="00E0694E"/>
    <w:rPr>
      <w:rFonts w:ascii="Garamond" w:hAnsi="Garamond"/>
      <w:sz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E0694E"/>
    <w:rPr>
      <w:rFonts w:ascii="Franklin Gothic Medium" w:hAnsi="Franklin Gothic Medium"/>
      <w:b/>
      <w:color w:val="324162"/>
      <w:sz w:val="32"/>
    </w:rPr>
  </w:style>
  <w:style w:type="character" w:customStyle="1" w:styleId="HeaderChar">
    <w:name w:val="Header Char"/>
    <w:basedOn w:val="DefaultParagraphFont"/>
    <w:link w:val="Header"/>
    <w:rsid w:val="00E0694E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600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41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416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416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A94D62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114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747C-7CC7-4C00-B5BF-D21C6F30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O'Hara;Lindsay Wise</dc:creator>
  <cp:keywords/>
  <dc:description/>
  <cp:lastModifiedBy>Sylvie Warren</cp:lastModifiedBy>
  <cp:revision>26</cp:revision>
  <cp:lastPrinted>2014-03-18T13:50:00Z</cp:lastPrinted>
  <dcterms:created xsi:type="dcterms:W3CDTF">2020-02-24T18:53:00Z</dcterms:created>
  <dcterms:modified xsi:type="dcterms:W3CDTF">2021-11-05T12:39:00Z</dcterms:modified>
</cp:coreProperties>
</file>