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270"/>
        <w:gridCol w:w="3420"/>
        <w:gridCol w:w="5040"/>
      </w:tblGrid>
      <w:tr w:rsidR="00BC7A19" w:rsidRPr="00BC7A19" w14:paraId="53F93EF0" w14:textId="77777777" w:rsidTr="00242C2F">
        <w:trPr>
          <w:trHeight w:val="432"/>
        </w:trPr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31A9F964" w14:textId="77777777" w:rsidR="00BC7A19" w:rsidRPr="00BC7A19" w:rsidRDefault="00BC7A19" w:rsidP="00BC7A19">
            <w:pPr>
              <w:spacing w:line="280" w:lineRule="atLeast"/>
              <w:rPr>
                <w:rFonts w:ascii="Calibri" w:hAnsi="Calibri"/>
                <w:b/>
                <w:sz w:val="23"/>
              </w:rPr>
            </w:pPr>
            <w:r w:rsidRPr="00BC7A19">
              <w:rPr>
                <w:rFonts w:ascii="Calibri" w:hAnsi="Calibri"/>
                <w:b/>
                <w:sz w:val="23"/>
              </w:rPr>
              <w:t>LEA Name:</w:t>
            </w:r>
          </w:p>
        </w:tc>
        <w:tc>
          <w:tcPr>
            <w:tcW w:w="8730" w:type="dxa"/>
            <w:gridSpan w:val="3"/>
            <w:tcBorders>
              <w:top w:val="nil"/>
              <w:bottom w:val="nil"/>
            </w:tcBorders>
            <w:vAlign w:val="bottom"/>
          </w:tcPr>
          <w:p w14:paraId="60D12EB2" w14:textId="77777777" w:rsidR="00BC7A19" w:rsidRPr="00BC7A19" w:rsidRDefault="00BC7A19" w:rsidP="00BC7A19">
            <w:pPr>
              <w:spacing w:line="280" w:lineRule="atLeast"/>
              <w:rPr>
                <w:rFonts w:ascii="Calibri" w:hAnsi="Calibri"/>
                <w:sz w:val="23"/>
              </w:rPr>
            </w:pPr>
          </w:p>
        </w:tc>
      </w:tr>
      <w:tr w:rsidR="00BC7A19" w:rsidRPr="00BC7A19" w14:paraId="0FB02BC4" w14:textId="77777777" w:rsidTr="00242C2F">
        <w:trPr>
          <w:gridAfter w:val="1"/>
          <w:wAfter w:w="5040" w:type="dxa"/>
        </w:trPr>
        <w:tc>
          <w:tcPr>
            <w:tcW w:w="162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1BF05E4C" w14:textId="77777777" w:rsidR="00BC7A19" w:rsidRPr="00BC7A19" w:rsidRDefault="00BC7A19" w:rsidP="00BC7A19">
            <w:pPr>
              <w:spacing w:line="280" w:lineRule="atLeast"/>
              <w:rPr>
                <w:rFonts w:ascii="Calibri" w:hAnsi="Calibri"/>
                <w:b/>
                <w:sz w:val="23"/>
              </w:rPr>
            </w:pPr>
            <w:r w:rsidRPr="00BC7A19">
              <w:rPr>
                <w:rFonts w:ascii="Calibri" w:hAnsi="Calibri"/>
                <w:b/>
                <w:sz w:val="23"/>
              </w:rPr>
              <w:t xml:space="preserve">Date: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</w:tcPr>
          <w:p w14:paraId="6F5E4CAB" w14:textId="77777777" w:rsidR="00BC7A19" w:rsidRPr="00BC7A19" w:rsidRDefault="00BC7A19" w:rsidP="00BC7A19">
            <w:pPr>
              <w:spacing w:after="120" w:line="280" w:lineRule="atLeast"/>
              <w:rPr>
                <w:rFonts w:ascii="Calibri" w:hAnsi="Calibri"/>
                <w:sz w:val="23"/>
              </w:rPr>
            </w:pPr>
          </w:p>
        </w:tc>
      </w:tr>
      <w:tr w:rsidR="00BC7A19" w:rsidRPr="00BC7A19" w14:paraId="73D3D857" w14:textId="77777777" w:rsidTr="00242C2F">
        <w:trPr>
          <w:gridAfter w:val="1"/>
          <w:wAfter w:w="5040" w:type="dxa"/>
        </w:trPr>
        <w:tc>
          <w:tcPr>
            <w:tcW w:w="162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48BCA8D" w14:textId="77777777" w:rsidR="00BC7A19" w:rsidRPr="00BC7A19" w:rsidRDefault="00BC7A19" w:rsidP="00BC7A19">
            <w:pPr>
              <w:spacing w:line="280" w:lineRule="atLeast"/>
              <w:rPr>
                <w:rFonts w:ascii="Calibri" w:hAnsi="Calibri"/>
                <w:b/>
                <w:sz w:val="23"/>
              </w:rPr>
            </w:pPr>
            <w:r w:rsidRPr="00BC7A19">
              <w:rPr>
                <w:rFonts w:ascii="Calibri" w:hAnsi="Calibri"/>
                <w:b/>
                <w:sz w:val="23"/>
              </w:rPr>
              <w:t>Date Updated: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</w:tcPr>
          <w:p w14:paraId="31E686F3" w14:textId="77777777" w:rsidR="00BC7A19" w:rsidRPr="00BC7A19" w:rsidRDefault="00BC7A19" w:rsidP="00BC7A19">
            <w:pPr>
              <w:spacing w:after="120" w:line="280" w:lineRule="atLeast"/>
              <w:rPr>
                <w:rFonts w:ascii="Calibri" w:hAnsi="Calibri"/>
                <w:sz w:val="23"/>
              </w:rPr>
            </w:pPr>
          </w:p>
        </w:tc>
      </w:tr>
    </w:tbl>
    <w:p w14:paraId="00B49F88" w14:textId="77777777" w:rsidR="002E3BAF" w:rsidRPr="002E3BAF" w:rsidRDefault="002E3BAF" w:rsidP="00BC7A19">
      <w:pPr>
        <w:pStyle w:val="Heading2"/>
        <w:tabs>
          <w:tab w:val="clear" w:pos="1152"/>
        </w:tabs>
        <w:spacing w:before="120" w:after="240" w:line="240" w:lineRule="auto"/>
        <w:ind w:left="0" w:firstLine="0"/>
        <w:jc w:val="center"/>
        <w:rPr>
          <w:rFonts w:asciiTheme="minorHAnsi" w:hAnsiTheme="minorHAnsi" w:cstheme="minorHAnsi"/>
          <w:color w:val="26847A"/>
          <w:sz w:val="40"/>
          <w:szCs w:val="40"/>
        </w:rPr>
      </w:pPr>
      <w:r w:rsidRPr="002E3BAF">
        <w:rPr>
          <w:rFonts w:asciiTheme="minorHAnsi" w:hAnsiTheme="minorHAnsi" w:cstheme="minorHAnsi"/>
          <w:color w:val="26847A"/>
          <w:sz w:val="40"/>
          <w:szCs w:val="40"/>
        </w:rPr>
        <w:t>Essential Elements</w:t>
      </w:r>
    </w:p>
    <w:tbl>
      <w:tblPr>
        <w:tblStyle w:val="TableGrid"/>
        <w:tblW w:w="10080" w:type="dxa"/>
        <w:tblInd w:w="-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2E3BAF" w:rsidRPr="002E3BAF" w14:paraId="649BAA96" w14:textId="77777777" w:rsidTr="00BC7A19">
        <w:trPr>
          <w:cantSplit/>
          <w:trHeight w:val="20"/>
        </w:trPr>
        <w:tc>
          <w:tcPr>
            <w:tcW w:w="10080" w:type="dxa"/>
            <w:shd w:val="clear" w:color="auto" w:fill="006960"/>
          </w:tcPr>
          <w:p w14:paraId="2C58C573" w14:textId="74D60B01" w:rsidR="002E3BAF" w:rsidRPr="002E3BAF" w:rsidRDefault="002E3BAF" w:rsidP="002E3BAF">
            <w:pPr>
              <w:keepNext/>
              <w:spacing w:line="280" w:lineRule="atLeast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2E3BA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Data Collection Name</w:t>
            </w:r>
            <w:r w:rsidR="00FF5746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:</w:t>
            </w:r>
            <w:r w:rsidR="00251697" w:rsidRPr="00717918">
              <w:rPr>
                <w:rStyle w:val="FootnoteReference"/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footnoteReference w:id="1"/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Reference the name the collection is known by in the </w:t>
            </w:r>
            <w:r w:rsidR="005D1463">
              <w:rPr>
                <w:rFonts w:asciiTheme="minorHAnsi" w:hAnsiTheme="minorHAnsi" w:cstheme="minorHAnsi"/>
                <w:color w:val="FFFFFF" w:themeColor="background1"/>
                <w:sz w:val="20"/>
              </w:rPr>
              <w:t>LEA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. For accuracy of communication throughout the </w:t>
            </w:r>
            <w:r w:rsidR="005D1463">
              <w:rPr>
                <w:rFonts w:asciiTheme="minorHAnsi" w:hAnsiTheme="minorHAnsi" w:cstheme="minorHAnsi"/>
                <w:color w:val="FFFFFF" w:themeColor="background1"/>
                <w:sz w:val="20"/>
              </w:rPr>
              <w:t>LEA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, reference each data collection by only one name. </w:t>
            </w:r>
          </w:p>
        </w:tc>
      </w:tr>
      <w:tr w:rsidR="002E3BAF" w:rsidRPr="002E3BAF" w14:paraId="7A3C2D51" w14:textId="77777777" w:rsidTr="00BC7A19">
        <w:trPr>
          <w:cantSplit/>
          <w:trHeight w:val="20"/>
        </w:trPr>
        <w:tc>
          <w:tcPr>
            <w:tcW w:w="1008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EC31B8" w14:textId="77777777" w:rsidR="002E3BAF" w:rsidRPr="002E3BAF" w:rsidRDefault="002E3BAF" w:rsidP="002E3BAF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2E3BAF" w:rsidRPr="002E3BAF" w14:paraId="26E2CA65" w14:textId="77777777" w:rsidTr="00BC7A19">
        <w:trPr>
          <w:cantSplit/>
          <w:trHeight w:val="20"/>
        </w:trPr>
        <w:tc>
          <w:tcPr>
            <w:tcW w:w="10080" w:type="dxa"/>
            <w:shd w:val="clear" w:color="auto" w:fill="006960"/>
          </w:tcPr>
          <w:p w14:paraId="71A37595" w14:textId="77CEB749" w:rsidR="002E3BAF" w:rsidRPr="002E3BAF" w:rsidRDefault="00556416" w:rsidP="002E3BAF">
            <w:pPr>
              <w:keepNext/>
              <w:spacing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bookmarkStart w:id="0" w:name="_Hlk54875261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Child Count Date and </w:t>
            </w:r>
            <w:r w:rsidR="00F84629" w:rsidRPr="00F84629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Required Data Containing Unduplicated Counts of Children</w:t>
            </w:r>
            <w:r w:rsidR="00F84629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and Educational Environments</w:t>
            </w:r>
            <w:bookmarkEnd w:id="0"/>
          </w:p>
        </w:tc>
      </w:tr>
      <w:tr w:rsidR="002E3BAF" w:rsidRPr="002E3BAF" w14:paraId="2D157A8C" w14:textId="77777777" w:rsidTr="00BC7A19">
        <w:trPr>
          <w:cantSplit/>
          <w:trHeight w:val="20"/>
        </w:trPr>
        <w:tc>
          <w:tcPr>
            <w:tcW w:w="1008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578293" w14:textId="6CC9FD2A" w:rsidR="00556416" w:rsidRDefault="00626817" w:rsidP="00556416">
            <w:pPr>
              <w:pStyle w:val="B1-Bullet"/>
              <w:ind w:left="360" w:hanging="360"/>
              <w:rPr>
                <w:b/>
                <w:bCs/>
              </w:rPr>
            </w:pPr>
            <w:r>
              <w:rPr>
                <w:b/>
                <w:bCs/>
              </w:rPr>
              <w:t xml:space="preserve">SEA </w:t>
            </w:r>
            <w:r w:rsidR="00EC5122">
              <w:rPr>
                <w:b/>
                <w:bCs/>
              </w:rPr>
              <w:t>Child Count Date:</w:t>
            </w:r>
            <w:r w:rsidR="00B47219">
              <w:rPr>
                <w:b/>
                <w:bCs/>
              </w:rPr>
              <w:t xml:space="preserve"> </w:t>
            </w:r>
            <w:r w:rsidR="00B47219">
              <w:t>________________________________________</w:t>
            </w:r>
          </w:p>
          <w:p w14:paraId="76736AE7" w14:textId="77777777" w:rsidR="000074A8" w:rsidRPr="00556416" w:rsidRDefault="000074A8" w:rsidP="00556416">
            <w:pPr>
              <w:pStyle w:val="B1-Bullet"/>
              <w:ind w:left="360" w:hanging="360"/>
              <w:rPr>
                <w:b/>
                <w:bCs/>
              </w:rPr>
            </w:pPr>
          </w:p>
          <w:p w14:paraId="0AA469C8" w14:textId="54A264C4" w:rsidR="002E3BAF" w:rsidRPr="00BC6A3D" w:rsidRDefault="00BC6A3D" w:rsidP="00BC6A3D">
            <w:pPr>
              <w:pStyle w:val="B1-Bullet"/>
              <w:ind w:left="360" w:hanging="360"/>
              <w:rPr>
                <w:b/>
                <w:bCs/>
              </w:rPr>
            </w:pPr>
            <w:r w:rsidRPr="00BC6A3D">
              <w:rPr>
                <w:b/>
                <w:bCs/>
              </w:rPr>
              <w:t>Data containing unduplicated counts of children</w:t>
            </w:r>
            <w:r w:rsidR="00F77D36">
              <w:rPr>
                <w:b/>
                <w:bCs/>
              </w:rPr>
              <w:t>:</w:t>
            </w:r>
          </w:p>
          <w:p w14:paraId="039986D6" w14:textId="1BD5B661" w:rsidR="00BC6A3D" w:rsidRDefault="00EB34F4" w:rsidP="00BC7A19">
            <w:pPr>
              <w:pStyle w:val="B1-Bullet"/>
              <w:numPr>
                <w:ilvl w:val="0"/>
                <w:numId w:val="31"/>
              </w:numPr>
            </w:pPr>
            <w:r>
              <w:t>Receiving services</w:t>
            </w:r>
            <w:r w:rsidR="00F77D36">
              <w:t xml:space="preserve"> </w:t>
            </w:r>
            <w:r w:rsidR="008D5B8C">
              <w:t>on the child count date</w:t>
            </w:r>
            <w:r>
              <w:t xml:space="preserve"> and are ages 5</w:t>
            </w:r>
            <w:r w:rsidR="005A6CED">
              <w:t xml:space="preserve"> (in </w:t>
            </w:r>
            <w:r w:rsidR="001879A3">
              <w:t>k</w:t>
            </w:r>
            <w:r w:rsidR="005A6CED">
              <w:t>indergarten)</w:t>
            </w:r>
            <w:r>
              <w:t xml:space="preserve"> through 21</w:t>
            </w:r>
          </w:p>
          <w:p w14:paraId="1B373C3E" w14:textId="26583C48" w:rsidR="007E2B14" w:rsidRDefault="001D390A" w:rsidP="00BC7A19">
            <w:pPr>
              <w:pStyle w:val="B1-Bullet"/>
              <w:numPr>
                <w:ilvl w:val="0"/>
                <w:numId w:val="31"/>
              </w:numPr>
            </w:pPr>
            <w:r>
              <w:t xml:space="preserve">Receiving services </w:t>
            </w:r>
            <w:r w:rsidR="008D5B8C">
              <w:t xml:space="preserve">on the child count date </w:t>
            </w:r>
            <w:r>
              <w:t xml:space="preserve">and are ages 3 through 5 (and not in </w:t>
            </w:r>
            <w:r w:rsidR="00B844B6">
              <w:t>k</w:t>
            </w:r>
            <w:r>
              <w:t>indergarten)</w:t>
            </w:r>
          </w:p>
          <w:p w14:paraId="44F79CEC" w14:textId="75009E6C" w:rsidR="00BC6A3D" w:rsidRPr="00BC6A3D" w:rsidRDefault="00BC6A3D" w:rsidP="00BC6A3D">
            <w:pPr>
              <w:pStyle w:val="B1-Bullet"/>
              <w:ind w:left="360" w:hanging="360"/>
              <w:rPr>
                <w:b/>
                <w:bCs/>
              </w:rPr>
            </w:pPr>
            <w:r w:rsidRPr="00BC6A3D">
              <w:rPr>
                <w:b/>
                <w:bCs/>
              </w:rPr>
              <w:t>Data containing unduplicated counts of educational environments</w:t>
            </w:r>
            <w:r w:rsidR="00F77D36">
              <w:rPr>
                <w:b/>
                <w:bCs/>
              </w:rPr>
              <w:t>:</w:t>
            </w:r>
            <w:r w:rsidR="005477E5" w:rsidRPr="00717918">
              <w:rPr>
                <w:rStyle w:val="FootnoteReference"/>
                <w:b/>
                <w:bCs/>
              </w:rPr>
              <w:footnoteReference w:id="2"/>
            </w:r>
          </w:p>
          <w:p w14:paraId="3C13260B" w14:textId="77777777" w:rsidR="00D706E9" w:rsidRDefault="00D706E9" w:rsidP="00BC7A19">
            <w:pPr>
              <w:pStyle w:val="B1-Bullet"/>
              <w:numPr>
                <w:ilvl w:val="0"/>
                <w:numId w:val="31"/>
              </w:numPr>
            </w:pPr>
            <w:r>
              <w:t>Inside regular class 80% or more of the day</w:t>
            </w:r>
          </w:p>
          <w:p w14:paraId="3B8A9D22" w14:textId="77777777" w:rsidR="00D706E9" w:rsidRDefault="00D706E9" w:rsidP="00BC7A19">
            <w:pPr>
              <w:pStyle w:val="B1-Bullet"/>
              <w:numPr>
                <w:ilvl w:val="0"/>
                <w:numId w:val="31"/>
              </w:numPr>
            </w:pPr>
            <w:r>
              <w:t>Inside regular class 40% through 79% of the day</w:t>
            </w:r>
          </w:p>
          <w:p w14:paraId="4FBB018F" w14:textId="77777777" w:rsidR="00D706E9" w:rsidRDefault="00D706E9" w:rsidP="00BC7A19">
            <w:pPr>
              <w:pStyle w:val="B1-Bullet"/>
              <w:numPr>
                <w:ilvl w:val="0"/>
                <w:numId w:val="31"/>
              </w:numPr>
            </w:pPr>
            <w:r>
              <w:t>Inside regular class less than 40% of the day</w:t>
            </w:r>
          </w:p>
          <w:p w14:paraId="5437AD7B" w14:textId="7030771A" w:rsidR="00D706E9" w:rsidRDefault="00D706E9" w:rsidP="00BC7A19">
            <w:pPr>
              <w:pStyle w:val="B1-Bullet"/>
              <w:numPr>
                <w:ilvl w:val="0"/>
                <w:numId w:val="31"/>
              </w:numPr>
            </w:pPr>
            <w:r>
              <w:t xml:space="preserve">Residential </w:t>
            </w:r>
            <w:r w:rsidR="00002764">
              <w:t>facility</w:t>
            </w:r>
          </w:p>
          <w:p w14:paraId="77071C0D" w14:textId="07411DAC" w:rsidR="00D706E9" w:rsidRDefault="00D706E9" w:rsidP="00BC7A19">
            <w:pPr>
              <w:pStyle w:val="B1-Bullet"/>
              <w:numPr>
                <w:ilvl w:val="0"/>
                <w:numId w:val="31"/>
              </w:numPr>
            </w:pPr>
            <w:r>
              <w:t>Homebound/</w:t>
            </w:r>
            <w:r w:rsidR="00955E63">
              <w:t>H</w:t>
            </w:r>
            <w:r w:rsidR="00002764">
              <w:t>ospital</w:t>
            </w:r>
          </w:p>
          <w:p w14:paraId="66CC0CCA" w14:textId="148C278A" w:rsidR="00D706E9" w:rsidRDefault="00D706E9" w:rsidP="00BC7A19">
            <w:pPr>
              <w:pStyle w:val="B1-Bullet"/>
              <w:numPr>
                <w:ilvl w:val="0"/>
                <w:numId w:val="31"/>
              </w:numPr>
            </w:pPr>
            <w:r>
              <w:t xml:space="preserve">Correctional </w:t>
            </w:r>
            <w:r w:rsidR="00002764">
              <w:t>facilities</w:t>
            </w:r>
          </w:p>
          <w:p w14:paraId="3D139B24" w14:textId="77777777" w:rsidR="00D706E9" w:rsidRDefault="00D706E9" w:rsidP="00BC7A19">
            <w:pPr>
              <w:pStyle w:val="B1-Bullet"/>
              <w:numPr>
                <w:ilvl w:val="0"/>
                <w:numId w:val="31"/>
              </w:numPr>
            </w:pPr>
            <w:r>
              <w:t>Parentally placed in private schools</w:t>
            </w:r>
          </w:p>
          <w:p w14:paraId="2CFD592B" w14:textId="77777777" w:rsidR="00CF5F74" w:rsidRDefault="00D706E9" w:rsidP="00002764">
            <w:pPr>
              <w:pStyle w:val="B1-Bullet"/>
              <w:numPr>
                <w:ilvl w:val="0"/>
                <w:numId w:val="31"/>
              </w:numPr>
            </w:pPr>
            <w:r>
              <w:t xml:space="preserve">Separate </w:t>
            </w:r>
            <w:r w:rsidR="00002764">
              <w:t>school</w:t>
            </w:r>
          </w:p>
          <w:p w14:paraId="44B34972" w14:textId="3A859D3E" w:rsidR="009900B6" w:rsidRPr="005C5303" w:rsidRDefault="009900B6" w:rsidP="00002764">
            <w:pPr>
              <w:pStyle w:val="B1-Bullet"/>
              <w:numPr>
                <w:ilvl w:val="0"/>
                <w:numId w:val="31"/>
              </w:numPr>
            </w:pPr>
            <w:r>
              <w:t>In the home</w:t>
            </w:r>
          </w:p>
        </w:tc>
      </w:tr>
      <w:tr w:rsidR="002E3BAF" w:rsidRPr="002E3BAF" w14:paraId="431A8FBA" w14:textId="77777777" w:rsidTr="00BC7A19">
        <w:trPr>
          <w:cantSplit/>
          <w:trHeight w:val="20"/>
        </w:trPr>
        <w:tc>
          <w:tcPr>
            <w:tcW w:w="10080" w:type="dxa"/>
            <w:shd w:val="clear" w:color="auto" w:fill="006960"/>
          </w:tcPr>
          <w:p w14:paraId="2C0B286C" w14:textId="319F11BF" w:rsidR="002E3BAF" w:rsidRPr="002E3BAF" w:rsidRDefault="002E3BAF" w:rsidP="000E2303">
            <w:pPr>
              <w:keepNext/>
              <w:pageBreakBefore/>
              <w:spacing w:line="280" w:lineRule="atLeast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2E3BA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lastRenderedPageBreak/>
              <w:t xml:space="preserve">Data </w:t>
            </w:r>
            <w:r w:rsidR="00E14F19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Staff</w:t>
            </w:r>
            <w:r w:rsidR="00FF5746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:</w:t>
            </w:r>
            <w:r w:rsidR="00E14F19" w:rsidRPr="00717918">
              <w:rPr>
                <w:rStyle w:val="FootnoteReference"/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footnoteReference w:id="3"/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Provide title</w:t>
            </w:r>
            <w:r w:rsidR="00002764">
              <w:rPr>
                <w:rFonts w:asciiTheme="minorHAnsi" w:hAnsiTheme="minorHAnsi" w:cstheme="minorHAnsi"/>
                <w:color w:val="FFFFFF" w:themeColor="background1"/>
                <w:sz w:val="20"/>
              </w:rPr>
              <w:t>s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and names, contact information, department, and any notes </w:t>
            </w:r>
            <w:r w:rsidR="00002764">
              <w:rPr>
                <w:rFonts w:asciiTheme="minorHAnsi" w:hAnsiTheme="minorHAnsi" w:cstheme="minorHAnsi"/>
                <w:color w:val="FFFFFF" w:themeColor="background1"/>
                <w:sz w:val="20"/>
              </w:rPr>
              <w:t>for</w:t>
            </w:r>
            <w:r w:rsidR="00002764"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persons responsible for collection, validation, and submission. If there are multiple parties responsible </w:t>
            </w:r>
            <w:r w:rsidR="0022313E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for 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>or involved in the process, list them all (</w:t>
            </w:r>
            <w:r w:rsidR="00002764">
              <w:rPr>
                <w:rFonts w:asciiTheme="minorHAnsi" w:hAnsiTheme="minorHAnsi" w:cstheme="minorHAnsi"/>
                <w:color w:val="FFFFFF" w:themeColor="background1"/>
                <w:sz w:val="20"/>
              </w:rPr>
              <w:t>e.g.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, </w:t>
            </w:r>
            <w:r w:rsidR="00002764">
              <w:rPr>
                <w:rFonts w:asciiTheme="minorHAnsi" w:hAnsiTheme="minorHAnsi" w:cstheme="minorHAnsi"/>
                <w:color w:val="FFFFFF" w:themeColor="background1"/>
                <w:sz w:val="20"/>
              </w:rPr>
              <w:t>special education coordinator</w:t>
            </w:r>
            <w:r w:rsidR="00FD08F2">
              <w:rPr>
                <w:rFonts w:asciiTheme="minorHAnsi" w:hAnsiTheme="minorHAnsi" w:cstheme="minorHAnsi"/>
                <w:color w:val="FFFFFF" w:themeColor="background1"/>
                <w:sz w:val="20"/>
              </w:rPr>
              <w:t>/</w:t>
            </w:r>
            <w:r w:rsidR="00002764">
              <w:rPr>
                <w:rFonts w:asciiTheme="minorHAnsi" w:hAnsiTheme="minorHAnsi" w:cstheme="minorHAnsi"/>
                <w:color w:val="FFFFFF" w:themeColor="background1"/>
                <w:sz w:val="20"/>
              </w:rPr>
              <w:t>case manager</w:t>
            </w:r>
            <w:r w:rsidR="00FD08F2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, </w:t>
            </w:r>
            <w:r w:rsidR="00002764">
              <w:rPr>
                <w:rFonts w:asciiTheme="minorHAnsi" w:hAnsiTheme="minorHAnsi" w:cstheme="minorHAnsi"/>
                <w:color w:val="FFFFFF" w:themeColor="background1"/>
                <w:sz w:val="20"/>
              </w:rPr>
              <w:t>special education</w:t>
            </w:r>
            <w:r w:rsidR="00002764"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="00002764">
              <w:rPr>
                <w:rFonts w:asciiTheme="minorHAnsi" w:hAnsiTheme="minorHAnsi" w:cstheme="minorHAnsi"/>
                <w:color w:val="FFFFFF" w:themeColor="background1"/>
                <w:sz w:val="20"/>
              </w:rPr>
              <w:t>d</w:t>
            </w:r>
            <w:r w:rsidR="00002764"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ata </w:t>
            </w:r>
            <w:r w:rsidR="00002764">
              <w:rPr>
                <w:rFonts w:asciiTheme="minorHAnsi" w:hAnsiTheme="minorHAnsi" w:cstheme="minorHAnsi"/>
                <w:color w:val="FFFFFF" w:themeColor="background1"/>
                <w:sz w:val="20"/>
              </w:rPr>
              <w:t>m</w:t>
            </w:r>
            <w:r w:rsidR="00002764"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>anager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>,</w:t>
            </w:r>
            <w:r w:rsidR="00FD08F2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="00002764">
              <w:rPr>
                <w:rFonts w:asciiTheme="minorHAnsi" w:hAnsiTheme="minorHAnsi" w:cstheme="minorHAnsi"/>
                <w:color w:val="FFFFFF" w:themeColor="background1"/>
                <w:sz w:val="20"/>
              </w:rPr>
              <w:t>district data manager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>).</w:t>
            </w:r>
          </w:p>
        </w:tc>
      </w:tr>
      <w:tr w:rsidR="002E3BAF" w:rsidRPr="002E3BAF" w14:paraId="7E0509C2" w14:textId="77777777" w:rsidTr="00BC7A19">
        <w:trPr>
          <w:cantSplit/>
          <w:trHeight w:val="20"/>
        </w:trPr>
        <w:tc>
          <w:tcPr>
            <w:tcW w:w="10080" w:type="dxa"/>
            <w:tcBorders>
              <w:bottom w:val="single" w:sz="4" w:space="0" w:color="auto"/>
            </w:tcBorders>
          </w:tcPr>
          <w:p w14:paraId="6D0899E6" w14:textId="77777777" w:rsidR="002E3BAF" w:rsidRPr="002E3BAF" w:rsidRDefault="002E3BAF" w:rsidP="002E3BAF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2E3BAF" w:rsidRPr="002E3BAF" w14:paraId="15F71F84" w14:textId="77777777" w:rsidTr="00BC7A19">
        <w:trPr>
          <w:cantSplit/>
          <w:trHeight w:val="20"/>
        </w:trPr>
        <w:tc>
          <w:tcPr>
            <w:tcW w:w="10080" w:type="dxa"/>
            <w:shd w:val="clear" w:color="auto" w:fill="006960"/>
          </w:tcPr>
          <w:p w14:paraId="22544566" w14:textId="43EB4DAA" w:rsidR="002E3BAF" w:rsidRPr="002E3BAF" w:rsidRDefault="002E3BAF" w:rsidP="002E3BAF">
            <w:pPr>
              <w:keepNext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2E3BA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Data Collection </w:t>
            </w:r>
            <w:r w:rsidR="007117C8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Elements and </w:t>
            </w:r>
            <w:r w:rsidRPr="002E3BA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Levels: 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These are the </w:t>
            </w:r>
            <w:r w:rsidR="007117C8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data collection elements and 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levels at which </w:t>
            </w:r>
            <w:r w:rsidR="00196139">
              <w:rPr>
                <w:rFonts w:asciiTheme="minorHAnsi" w:hAnsiTheme="minorHAnsi" w:cstheme="minorHAnsi"/>
                <w:color w:val="FFFFFF" w:themeColor="background1"/>
                <w:sz w:val="20"/>
              </w:rPr>
              <w:t>the LEA collects and submits data to the SEA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. </w:t>
            </w:r>
          </w:p>
        </w:tc>
      </w:tr>
      <w:tr w:rsidR="002E3BAF" w:rsidRPr="002E3BAF" w14:paraId="3B521575" w14:textId="77777777" w:rsidTr="00BC7A19">
        <w:trPr>
          <w:cantSplit/>
          <w:trHeight w:val="20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</w:tcPr>
          <w:p w14:paraId="02071905" w14:textId="77777777" w:rsidR="00123293" w:rsidRDefault="00123293" w:rsidP="00BC7A19">
            <w:pPr>
              <w:pStyle w:val="B1-Bullet"/>
              <w:numPr>
                <w:ilvl w:val="0"/>
                <w:numId w:val="31"/>
              </w:numPr>
            </w:pPr>
            <w:r w:rsidRPr="00123293">
              <w:t>Student demographics (race/ethnicity, gender, disability, age, educational environment, and English learner status)</w:t>
            </w:r>
          </w:p>
          <w:p w14:paraId="4480CD0A" w14:textId="22C53175" w:rsidR="002E3BAF" w:rsidRDefault="007117C8" w:rsidP="00BC7A19">
            <w:pPr>
              <w:pStyle w:val="B1-Bullet"/>
              <w:numPr>
                <w:ilvl w:val="0"/>
                <w:numId w:val="31"/>
              </w:numPr>
            </w:pPr>
            <w:bookmarkStart w:id="1" w:name="_GoBack"/>
            <w:bookmarkEnd w:id="1"/>
            <w:r>
              <w:t>I</w:t>
            </w:r>
            <w:r w:rsidR="002E3BAF" w:rsidRPr="002E3BAF">
              <w:t>ndividual student and aggregate levels</w:t>
            </w:r>
          </w:p>
          <w:p w14:paraId="6535EFEB" w14:textId="1FFD2162" w:rsidR="002E3BAF" w:rsidRPr="002E3BAF" w:rsidRDefault="007117C8" w:rsidP="00123293">
            <w:pPr>
              <w:pStyle w:val="B1-Bullet"/>
              <w:numPr>
                <w:ilvl w:val="0"/>
                <w:numId w:val="31"/>
              </w:numPr>
            </w:pPr>
            <w:r>
              <w:t>School and LEA levels</w:t>
            </w:r>
          </w:p>
          <w:p w14:paraId="6141FB49" w14:textId="77777777" w:rsidR="002E3BAF" w:rsidRPr="002E3BAF" w:rsidRDefault="002E3BAF" w:rsidP="00BC7A19">
            <w:pPr>
              <w:pStyle w:val="B1-Bullet"/>
              <w:numPr>
                <w:ilvl w:val="0"/>
                <w:numId w:val="31"/>
              </w:numPr>
            </w:pPr>
            <w:r w:rsidRPr="002E3BAF">
              <w:t>Other ______________________</w:t>
            </w:r>
          </w:p>
        </w:tc>
      </w:tr>
      <w:tr w:rsidR="002E3BAF" w:rsidRPr="002E3BAF" w14:paraId="6193541D" w14:textId="77777777" w:rsidTr="00BC7A19">
        <w:trPr>
          <w:cantSplit/>
          <w:trHeight w:val="20"/>
        </w:trPr>
        <w:tc>
          <w:tcPr>
            <w:tcW w:w="10080" w:type="dxa"/>
            <w:shd w:val="clear" w:color="auto" w:fill="006960"/>
          </w:tcPr>
          <w:p w14:paraId="39A09C27" w14:textId="0703027E" w:rsidR="002E3BAF" w:rsidRPr="002E3BAF" w:rsidRDefault="00CB15B9" w:rsidP="002E3BAF">
            <w:pPr>
              <w:keepNext/>
              <w:spacing w:line="280" w:lineRule="atLeast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LEA</w:t>
            </w:r>
            <w:r w:rsidR="002E3BAF" w:rsidRPr="002E3BA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</w:t>
            </w:r>
            <w:r w:rsidR="00C5006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Collection Period and </w:t>
            </w:r>
            <w:r w:rsidR="002E3BAF" w:rsidRPr="002E3BA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Submission Schedule:</w:t>
            </w:r>
            <w:r w:rsidR="002E3BAF"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Provide a list of dates when the data collection period opens, when data are due to the 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>L</w:t>
            </w:r>
            <w:r w:rsidR="002E3BAF"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EA from the 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>school</w:t>
            </w:r>
            <w:r w:rsidR="002E3BAF"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, and when </w:t>
            </w:r>
            <w:r w:rsidR="004C27E2">
              <w:rPr>
                <w:rFonts w:asciiTheme="minorHAnsi" w:hAnsiTheme="minorHAnsi" w:cstheme="minorHAnsi"/>
                <w:color w:val="FFFFFF" w:themeColor="background1"/>
                <w:sz w:val="20"/>
              </w:rPr>
              <w:t>the LEA pulls data</w:t>
            </w:r>
            <w:r w:rsidR="002E3BAF"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after the collection closes. </w:t>
            </w:r>
          </w:p>
        </w:tc>
      </w:tr>
      <w:tr w:rsidR="002E3BAF" w:rsidRPr="002E3BAF" w14:paraId="10203CE1" w14:textId="77777777" w:rsidTr="00BC7A19">
        <w:trPr>
          <w:cantSplit/>
          <w:trHeight w:val="20"/>
        </w:trPr>
        <w:tc>
          <w:tcPr>
            <w:tcW w:w="10080" w:type="dxa"/>
            <w:shd w:val="clear" w:color="auto" w:fill="auto"/>
          </w:tcPr>
          <w:p w14:paraId="6C0ED578" w14:textId="77777777" w:rsidR="002E3BAF" w:rsidRPr="002E3BAF" w:rsidRDefault="002E3BAF" w:rsidP="002E3BAF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</w:tbl>
    <w:p w14:paraId="182359B2" w14:textId="77777777" w:rsidR="00BC7A19" w:rsidRDefault="00BC7A19">
      <w:pPr>
        <w:spacing w:line="240" w:lineRule="auto"/>
        <w:rPr>
          <w:rFonts w:asciiTheme="minorHAnsi" w:hAnsiTheme="minorHAnsi" w:cstheme="minorHAnsi"/>
          <w:b/>
          <w:color w:val="26847A"/>
          <w:sz w:val="40"/>
          <w:szCs w:val="40"/>
        </w:rPr>
      </w:pPr>
      <w:r>
        <w:rPr>
          <w:rFonts w:asciiTheme="minorHAnsi" w:hAnsiTheme="minorHAnsi" w:cstheme="minorHAnsi"/>
          <w:color w:val="26847A"/>
          <w:sz w:val="40"/>
          <w:szCs w:val="40"/>
        </w:rPr>
        <w:br w:type="page"/>
      </w:r>
    </w:p>
    <w:p w14:paraId="3FCC46F3" w14:textId="55041195" w:rsidR="002E3BAF" w:rsidRPr="002E3BAF" w:rsidRDefault="002E3BAF" w:rsidP="00BC7A19">
      <w:pPr>
        <w:pStyle w:val="Heading2"/>
        <w:tabs>
          <w:tab w:val="clear" w:pos="1152"/>
        </w:tabs>
        <w:spacing w:before="120" w:after="240" w:line="240" w:lineRule="auto"/>
        <w:ind w:left="0" w:firstLine="0"/>
        <w:jc w:val="center"/>
        <w:rPr>
          <w:rFonts w:asciiTheme="minorHAnsi" w:hAnsiTheme="minorHAnsi" w:cstheme="minorHAnsi"/>
          <w:color w:val="26847A"/>
          <w:sz w:val="40"/>
          <w:szCs w:val="40"/>
        </w:rPr>
      </w:pPr>
      <w:r w:rsidRPr="002E3BAF">
        <w:rPr>
          <w:rFonts w:asciiTheme="minorHAnsi" w:hAnsiTheme="minorHAnsi" w:cstheme="minorHAnsi"/>
          <w:color w:val="26847A"/>
          <w:sz w:val="40"/>
          <w:szCs w:val="40"/>
        </w:rPr>
        <w:lastRenderedPageBreak/>
        <w:t>Processes</w:t>
      </w:r>
    </w:p>
    <w:tbl>
      <w:tblPr>
        <w:tblStyle w:val="TableGrid"/>
        <w:tblW w:w="10080" w:type="dxa"/>
        <w:tblInd w:w="-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2E3BAF" w:rsidRPr="002E3BAF" w14:paraId="6CBB5F18" w14:textId="77777777" w:rsidTr="00BC7A19">
        <w:tc>
          <w:tcPr>
            <w:tcW w:w="10080" w:type="dxa"/>
            <w:shd w:val="clear" w:color="auto" w:fill="006960"/>
          </w:tcPr>
          <w:p w14:paraId="1ACAAF7F" w14:textId="3F5BAC55" w:rsidR="002E3BAF" w:rsidRPr="002E3BAF" w:rsidRDefault="002E3BAF" w:rsidP="002E3BAF">
            <w:pPr>
              <w:keepNext/>
              <w:spacing w:line="280" w:lineRule="atLeast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2E3BA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Collection: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Provide detailed information about how</w:t>
            </w:r>
            <w:r w:rsidR="00AE2219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the LEA pulls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data from </w:t>
            </w:r>
            <w:r w:rsidR="00BA17CB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the 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database, how </w:t>
            </w:r>
            <w:r w:rsidR="00AE2219">
              <w:rPr>
                <w:rFonts w:asciiTheme="minorHAnsi" w:hAnsiTheme="minorHAnsi" w:cstheme="minorHAnsi"/>
                <w:color w:val="FFFFFF" w:themeColor="background1"/>
                <w:sz w:val="20"/>
              </w:rPr>
              <w:t>schools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submit data to the </w:t>
            </w:r>
            <w:r w:rsidR="00AE2219">
              <w:rPr>
                <w:rFonts w:asciiTheme="minorHAnsi" w:hAnsiTheme="minorHAnsi" w:cstheme="minorHAnsi"/>
                <w:color w:val="FFFFFF" w:themeColor="background1"/>
                <w:sz w:val="20"/>
              </w:rPr>
              <w:t>LEA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>, etc.</w:t>
            </w:r>
            <w:r w:rsidR="00AE2219">
              <w:rPr>
                <w:rFonts w:asciiTheme="minorHAnsi" w:hAnsiTheme="minorHAnsi" w:cstheme="minorHAnsi"/>
                <w:color w:val="FFFFFF" w:themeColor="background1"/>
                <w:sz w:val="20"/>
              </w:rPr>
              <w:t>, including the titles of persons responsible.</w:t>
            </w:r>
          </w:p>
        </w:tc>
      </w:tr>
      <w:tr w:rsidR="002E3BAF" w:rsidRPr="002E3BAF" w14:paraId="7A952F3C" w14:textId="77777777" w:rsidTr="00BC7A19">
        <w:tc>
          <w:tcPr>
            <w:tcW w:w="10080" w:type="dxa"/>
            <w:tcBorders>
              <w:bottom w:val="single" w:sz="4" w:space="0" w:color="auto"/>
            </w:tcBorders>
          </w:tcPr>
          <w:p w14:paraId="6B3C1241" w14:textId="77777777" w:rsidR="002E3BAF" w:rsidRPr="002E3BAF" w:rsidRDefault="002E3BAF" w:rsidP="002E3BAF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2E3BAF" w:rsidRPr="002E3BAF" w14:paraId="66C6C344" w14:textId="77777777" w:rsidTr="00BC7A19">
        <w:tc>
          <w:tcPr>
            <w:tcW w:w="10080" w:type="dxa"/>
            <w:shd w:val="clear" w:color="auto" w:fill="006960"/>
          </w:tcPr>
          <w:p w14:paraId="22425BC1" w14:textId="16CC0DCD" w:rsidR="002E3BAF" w:rsidRPr="002E3BAF" w:rsidRDefault="002E3BAF" w:rsidP="002E3BAF">
            <w:pPr>
              <w:keepNext/>
              <w:spacing w:line="280" w:lineRule="atLeast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2E3BA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Data Validation</w:t>
            </w:r>
            <w:r w:rsidR="007F4B8D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:</w:t>
            </w:r>
            <w:r w:rsidRPr="00717918">
              <w:rPr>
                <w:rFonts w:asciiTheme="minorHAnsi" w:hAnsiTheme="minorHAnsi" w:cstheme="minorHAnsi"/>
                <w:b/>
                <w:color w:val="FFFFFF" w:themeColor="background1"/>
                <w:sz w:val="20"/>
                <w:vertAlign w:val="superscript"/>
              </w:rPr>
              <w:footnoteReference w:id="4"/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  <w:vertAlign w:val="superscript"/>
              </w:rPr>
              <w:t xml:space="preserve"> 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Describe the data cleaning processes </w:t>
            </w:r>
            <w:r w:rsidR="00AE2219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the LEA 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>use</w:t>
            </w:r>
            <w:r w:rsidR="00AE2219">
              <w:rPr>
                <w:rFonts w:asciiTheme="minorHAnsi" w:hAnsiTheme="minorHAnsi" w:cstheme="minorHAnsi"/>
                <w:color w:val="FFFFFF" w:themeColor="background1"/>
                <w:sz w:val="20"/>
              </w:rPr>
              <w:t>s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to prepare these data for submission. </w:t>
            </w:r>
          </w:p>
        </w:tc>
      </w:tr>
      <w:tr w:rsidR="002E3BAF" w:rsidRPr="002E3BAF" w14:paraId="504C4641" w14:textId="77777777" w:rsidTr="00BC7A19">
        <w:tc>
          <w:tcPr>
            <w:tcW w:w="10080" w:type="dxa"/>
            <w:tcBorders>
              <w:bottom w:val="single" w:sz="4" w:space="0" w:color="auto"/>
            </w:tcBorders>
          </w:tcPr>
          <w:p w14:paraId="723E04D5" w14:textId="77777777" w:rsidR="002E3BAF" w:rsidRPr="002E3BAF" w:rsidRDefault="002E3BAF" w:rsidP="002E3BAF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2E3BAF" w:rsidRPr="002E3BAF" w14:paraId="6492AAB0" w14:textId="77777777" w:rsidTr="00BC7A19">
        <w:tc>
          <w:tcPr>
            <w:tcW w:w="10080" w:type="dxa"/>
            <w:shd w:val="clear" w:color="auto" w:fill="006960"/>
          </w:tcPr>
          <w:p w14:paraId="19301497" w14:textId="6305B5DF" w:rsidR="002E3BAF" w:rsidRPr="002E3BAF" w:rsidRDefault="002E3BAF" w:rsidP="002C35EF">
            <w:pPr>
              <w:keepNext/>
              <w:spacing w:line="280" w:lineRule="atLeast"/>
              <w:rPr>
                <w:rFonts w:asciiTheme="minorHAnsi" w:hAnsiTheme="minorHAnsi" w:cstheme="minorHAnsi"/>
                <w:i/>
                <w:color w:val="FFFFFF" w:themeColor="background1"/>
                <w:sz w:val="20"/>
              </w:rPr>
            </w:pPr>
            <w:r w:rsidRPr="002E3BA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Internal Approval Process:</w:t>
            </w:r>
            <w:r w:rsidRPr="00717918">
              <w:rPr>
                <w:rFonts w:asciiTheme="minorHAnsi" w:hAnsiTheme="minorHAnsi" w:cstheme="minorHAnsi"/>
                <w:b/>
                <w:color w:val="FFFFFF" w:themeColor="background1"/>
                <w:sz w:val="20"/>
                <w:vertAlign w:val="superscript"/>
              </w:rPr>
              <w:footnoteReference w:id="5"/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  <w:vertAlign w:val="superscript"/>
              </w:rPr>
              <w:t xml:space="preserve"> 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Describe any </w:t>
            </w:r>
            <w:r w:rsidR="009B4408">
              <w:rPr>
                <w:rFonts w:asciiTheme="minorHAnsi" w:hAnsiTheme="minorHAnsi" w:cstheme="minorHAnsi"/>
                <w:color w:val="FFFFFF" w:themeColor="background1"/>
                <w:sz w:val="20"/>
              </w:rPr>
              <w:t>internal approval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processes </w:t>
            </w:r>
            <w:r w:rsidR="009B4408">
              <w:rPr>
                <w:rFonts w:asciiTheme="minorHAnsi" w:hAnsiTheme="minorHAnsi" w:cstheme="minorHAnsi"/>
                <w:color w:val="FFFFFF" w:themeColor="background1"/>
                <w:sz w:val="20"/>
              </w:rPr>
              <w:t>(e.g.</w:t>
            </w:r>
            <w:r w:rsidR="00EC5122">
              <w:rPr>
                <w:rFonts w:asciiTheme="minorHAnsi" w:hAnsiTheme="minorHAnsi" w:cstheme="minorHAnsi"/>
                <w:color w:val="FFFFFF" w:themeColor="background1"/>
                <w:sz w:val="20"/>
              </w:rPr>
              <w:t>,</w:t>
            </w:r>
            <w:r w:rsidR="009B4408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who must sign off and timelines) 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and dates relative to these </w:t>
            </w:r>
            <w:r w:rsidR="00EC5122">
              <w:rPr>
                <w:rFonts w:asciiTheme="minorHAnsi" w:hAnsiTheme="minorHAnsi" w:cstheme="minorHAnsi"/>
                <w:color w:val="FFFFFF" w:themeColor="background1"/>
                <w:sz w:val="20"/>
              </w:rPr>
              <w:t>data being certified by the LEA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(</w:t>
            </w:r>
            <w:r w:rsidR="002C35E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e.g., via 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>online certification, hard copy signature, electronic signature).</w:t>
            </w:r>
            <w:r w:rsidRPr="002E3BAF">
              <w:rPr>
                <w:rFonts w:asciiTheme="minorHAnsi" w:hAnsiTheme="minorHAnsi" w:cstheme="minorHAnsi"/>
                <w:i/>
                <w:color w:val="FFFFFF" w:themeColor="background1"/>
                <w:sz w:val="20"/>
              </w:rPr>
              <w:t xml:space="preserve"> </w:t>
            </w:r>
          </w:p>
        </w:tc>
      </w:tr>
      <w:tr w:rsidR="002E3BAF" w:rsidRPr="002E3BAF" w14:paraId="61333FD3" w14:textId="77777777" w:rsidTr="00BC7A19">
        <w:trPr>
          <w:trHeight w:val="442"/>
        </w:trPr>
        <w:tc>
          <w:tcPr>
            <w:tcW w:w="10080" w:type="dxa"/>
            <w:tcBorders>
              <w:bottom w:val="single" w:sz="4" w:space="0" w:color="auto"/>
            </w:tcBorders>
          </w:tcPr>
          <w:p w14:paraId="69AB06DD" w14:textId="05EB0C51" w:rsidR="002E3BAF" w:rsidRPr="00FC0D7C" w:rsidRDefault="002E3BAF" w:rsidP="002E3BAF">
            <w:pPr>
              <w:rPr>
                <w:rFonts w:asciiTheme="minorHAnsi" w:hAnsiTheme="minorHAnsi" w:cstheme="minorHAnsi"/>
                <w:iCs/>
                <w:color w:val="000000" w:themeColor="text1"/>
                <w:sz w:val="21"/>
                <w:szCs w:val="21"/>
              </w:rPr>
            </w:pPr>
          </w:p>
        </w:tc>
      </w:tr>
      <w:tr w:rsidR="00610C4B" w:rsidRPr="00610C4B" w14:paraId="3C5AFC7F" w14:textId="77777777" w:rsidTr="00610C4B">
        <w:tc>
          <w:tcPr>
            <w:tcW w:w="10080" w:type="dxa"/>
            <w:shd w:val="clear" w:color="auto" w:fill="006960"/>
          </w:tcPr>
          <w:p w14:paraId="06245EF1" w14:textId="3A9ABC41" w:rsidR="002E3BAF" w:rsidRPr="00610C4B" w:rsidRDefault="002E3BAF" w:rsidP="002E3BAF">
            <w:pPr>
              <w:keepNext/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610C4B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Submission:</w:t>
            </w:r>
            <w:r w:rsidRPr="00717918">
              <w:rPr>
                <w:rFonts w:asciiTheme="minorHAnsi" w:hAnsiTheme="minorHAnsi" w:cstheme="minorHAnsi"/>
                <w:b/>
                <w:color w:val="FFFFFF" w:themeColor="background1"/>
                <w:sz w:val="20"/>
                <w:vertAlign w:val="superscript"/>
              </w:rPr>
              <w:footnoteReference w:id="6"/>
            </w:r>
            <w:r w:rsidRPr="00610C4B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Describe the process for generating and submitting </w:t>
            </w:r>
            <w:r w:rsidR="00EC45E0" w:rsidRPr="00610C4B">
              <w:rPr>
                <w:rFonts w:asciiTheme="minorHAnsi" w:hAnsiTheme="minorHAnsi" w:cstheme="minorHAnsi"/>
                <w:color w:val="FFFFFF" w:themeColor="background1"/>
                <w:sz w:val="20"/>
              </w:rPr>
              <w:t>the data to the SEA</w:t>
            </w:r>
            <w:r w:rsidRPr="00610C4B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. </w:t>
            </w:r>
          </w:p>
        </w:tc>
      </w:tr>
      <w:tr w:rsidR="002E3BAF" w:rsidRPr="002E3BAF" w14:paraId="44EDDE63" w14:textId="77777777" w:rsidTr="00BC7A19">
        <w:tc>
          <w:tcPr>
            <w:tcW w:w="10080" w:type="dxa"/>
            <w:tcBorders>
              <w:bottom w:val="single" w:sz="4" w:space="0" w:color="auto"/>
            </w:tcBorders>
          </w:tcPr>
          <w:p w14:paraId="09956FC7" w14:textId="77777777" w:rsidR="002E3BAF" w:rsidRPr="002E3BAF" w:rsidRDefault="002E3BAF" w:rsidP="002E3BAF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10C4B" w:rsidRPr="00610C4B" w14:paraId="70393659" w14:textId="77777777" w:rsidTr="00610C4B">
        <w:tc>
          <w:tcPr>
            <w:tcW w:w="10080" w:type="dxa"/>
            <w:shd w:val="clear" w:color="auto" w:fill="006960"/>
          </w:tcPr>
          <w:p w14:paraId="74796589" w14:textId="6AE04B7D" w:rsidR="002E3BAF" w:rsidRPr="00610C4B" w:rsidRDefault="00474A38" w:rsidP="00105F83">
            <w:pPr>
              <w:keepNext/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610C4B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Responding to State Request for Informatio</w:t>
            </w:r>
            <w:r w:rsidR="00EC5122" w:rsidRPr="00610C4B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n About Discrepancies in Data: </w:t>
            </w:r>
            <w:r w:rsidRPr="00610C4B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Describe how </w:t>
            </w:r>
            <w:r w:rsidR="00105F83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the</w:t>
            </w:r>
            <w:r w:rsidRPr="00610C4B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 LEA responds to the SEA’s requests for information about inconsistent or incomplete </w:t>
            </w:r>
            <w:r w:rsidR="00EC5122" w:rsidRPr="00610C4B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data submissions. </w:t>
            </w:r>
            <w:r w:rsidRPr="00610C4B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Identify the position of the lead contact for handling this request and describe how the request is com</w:t>
            </w:r>
            <w:r w:rsidR="00EC5122" w:rsidRPr="00610C4B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municated to the school level. </w:t>
            </w:r>
            <w:r w:rsidRPr="00610C4B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Include information regarding the timeline for responding.</w:t>
            </w:r>
          </w:p>
        </w:tc>
      </w:tr>
      <w:tr w:rsidR="002E3BAF" w:rsidRPr="002E3BAF" w14:paraId="7CF8A347" w14:textId="77777777" w:rsidTr="00BC7A19">
        <w:tc>
          <w:tcPr>
            <w:tcW w:w="10080" w:type="dxa"/>
            <w:tcBorders>
              <w:bottom w:val="single" w:sz="4" w:space="0" w:color="auto"/>
            </w:tcBorders>
          </w:tcPr>
          <w:p w14:paraId="5DE6DEA7" w14:textId="77777777" w:rsidR="002E3BAF" w:rsidRPr="002E3BAF" w:rsidRDefault="002E3BAF" w:rsidP="002E3BAF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325EE2" w:rsidRPr="002E3BAF" w14:paraId="32F25EE6" w14:textId="77777777" w:rsidTr="00BC7A19">
        <w:trPr>
          <w:trHeight w:val="20"/>
        </w:trPr>
        <w:tc>
          <w:tcPr>
            <w:tcW w:w="10080" w:type="dxa"/>
            <w:shd w:val="clear" w:color="auto" w:fill="006960"/>
          </w:tcPr>
          <w:p w14:paraId="0310B4BD" w14:textId="28DCC5E1" w:rsidR="00325EE2" w:rsidRPr="002E3BAF" w:rsidRDefault="00325EE2" w:rsidP="002B2A12">
            <w:pPr>
              <w:keepNext/>
              <w:spacing w:line="280" w:lineRule="atLeast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Data Analysis</w:t>
            </w:r>
            <w:r w:rsidR="00120255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:</w:t>
            </w:r>
            <w:r w:rsidR="007F17CC" w:rsidRPr="00717918">
              <w:rPr>
                <w:rStyle w:val="FootnoteReference"/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footnoteReference w:id="7"/>
            </w:r>
            <w:r w:rsidR="00EC5122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</w:t>
            </w:r>
            <w:r w:rsidR="007F17CC">
              <w:rPr>
                <w:rFonts w:asciiTheme="minorHAnsi" w:hAnsiTheme="minorHAnsi" w:cstheme="minorHAnsi"/>
                <w:color w:val="FFFFFF" w:themeColor="background1"/>
                <w:sz w:val="20"/>
              </w:rPr>
              <w:t>Describe the process for data analysis.</w:t>
            </w:r>
          </w:p>
        </w:tc>
      </w:tr>
      <w:tr w:rsidR="00325EE2" w:rsidRPr="002E3BAF" w14:paraId="603597E2" w14:textId="77777777" w:rsidTr="00BC7A19">
        <w:tc>
          <w:tcPr>
            <w:tcW w:w="10080" w:type="dxa"/>
            <w:tcBorders>
              <w:bottom w:val="single" w:sz="4" w:space="0" w:color="auto"/>
            </w:tcBorders>
          </w:tcPr>
          <w:p w14:paraId="60776A4B" w14:textId="77777777" w:rsidR="00325EE2" w:rsidRPr="002E3BAF" w:rsidRDefault="00325EE2" w:rsidP="002E3BAF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FF5746" w:rsidRPr="002E3BAF" w14:paraId="3657963A" w14:textId="77777777" w:rsidTr="00BC7A19">
        <w:trPr>
          <w:trHeight w:val="20"/>
        </w:trPr>
        <w:tc>
          <w:tcPr>
            <w:tcW w:w="10080" w:type="dxa"/>
            <w:shd w:val="clear" w:color="auto" w:fill="006960"/>
          </w:tcPr>
          <w:p w14:paraId="3B75EED1" w14:textId="7325DD6D" w:rsidR="00FF5746" w:rsidRPr="002E3BAF" w:rsidRDefault="009D6006" w:rsidP="002B2A12">
            <w:pPr>
              <w:keepNext/>
              <w:spacing w:line="280" w:lineRule="atLeast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9D6006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Data Use: </w:t>
            </w:r>
            <w:r w:rsidRPr="009D6006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Record any strategies and procedures for the LEA or schools to use </w:t>
            </w:r>
            <w:r w:rsidR="000F4F70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Child Count and Educational Environments</w:t>
            </w:r>
            <w:r w:rsidRPr="009D6006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 data (e.g., for professional development, student supports, systems improvement). Describe how the LEA engages with the schools to help them utilize data for school improvement.</w:t>
            </w:r>
          </w:p>
        </w:tc>
      </w:tr>
      <w:tr w:rsidR="00325EE2" w:rsidRPr="002E3BAF" w14:paraId="46C1321D" w14:textId="77777777" w:rsidTr="00BC7A19">
        <w:tc>
          <w:tcPr>
            <w:tcW w:w="10080" w:type="dxa"/>
            <w:tcBorders>
              <w:bottom w:val="single" w:sz="4" w:space="0" w:color="auto"/>
            </w:tcBorders>
          </w:tcPr>
          <w:p w14:paraId="5EC1AAC5" w14:textId="77777777" w:rsidR="00325EE2" w:rsidRPr="002E3BAF" w:rsidRDefault="00325EE2" w:rsidP="002E3BAF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2E3BAF" w:rsidRPr="002E3BAF" w14:paraId="3EE0F91C" w14:textId="77777777" w:rsidTr="00BC7A19">
        <w:trPr>
          <w:trHeight w:val="20"/>
        </w:trPr>
        <w:tc>
          <w:tcPr>
            <w:tcW w:w="10080" w:type="dxa"/>
            <w:shd w:val="clear" w:color="auto" w:fill="006960"/>
          </w:tcPr>
          <w:p w14:paraId="699CC93C" w14:textId="6F358E89" w:rsidR="002E3BAF" w:rsidRPr="002E3BAF" w:rsidRDefault="002E3BAF" w:rsidP="002E3BAF">
            <w:pPr>
              <w:keepNext/>
              <w:spacing w:line="280" w:lineRule="atLeast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2E3BA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Data Governance: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Describe the process for reviewing potential or actual future changes to the data collection and associated requirement</w:t>
            </w:r>
            <w:r w:rsidR="0027096E">
              <w:rPr>
                <w:rFonts w:asciiTheme="minorHAnsi" w:hAnsiTheme="minorHAnsi" w:cstheme="minorHAnsi"/>
                <w:color w:val="FFFFFF" w:themeColor="background1"/>
                <w:sz w:val="20"/>
              </w:rPr>
              <w:t>s and procedures for archiving data.</w:t>
            </w:r>
          </w:p>
        </w:tc>
      </w:tr>
      <w:tr w:rsidR="002E3BAF" w:rsidRPr="002E3BAF" w14:paraId="34684E4F" w14:textId="77777777" w:rsidTr="00BC7A19">
        <w:tc>
          <w:tcPr>
            <w:tcW w:w="10080" w:type="dxa"/>
          </w:tcPr>
          <w:p w14:paraId="57C179BE" w14:textId="77777777" w:rsidR="002E3BAF" w:rsidRPr="002E3BAF" w:rsidRDefault="002E3BAF" w:rsidP="002E3BAF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2E3BAF" w:rsidRPr="002E3BAF" w14:paraId="734DB4FD" w14:textId="77777777" w:rsidTr="00610C4B">
        <w:tc>
          <w:tcPr>
            <w:tcW w:w="10080" w:type="dxa"/>
            <w:shd w:val="clear" w:color="auto" w:fill="006960"/>
          </w:tcPr>
          <w:p w14:paraId="2090EFD6" w14:textId="31160FD3" w:rsidR="002E3BAF" w:rsidRPr="009D6006" w:rsidRDefault="00EC5122" w:rsidP="00A6381F">
            <w:pPr>
              <w:keepNext/>
              <w:spacing w:line="280" w:lineRule="atLeast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 w:rsidRPr="00610C4B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Blank Heading: </w:t>
            </w:r>
            <w:r w:rsidR="009D6006" w:rsidRPr="00610C4B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Use t</w:t>
            </w:r>
            <w:r w:rsidRPr="00610C4B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his row for additional topics. </w:t>
            </w:r>
            <w:r w:rsidR="009D6006" w:rsidRPr="00610C4B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Create new heading rows as needed.</w:t>
            </w:r>
          </w:p>
        </w:tc>
      </w:tr>
      <w:tr w:rsidR="002E3BAF" w:rsidRPr="002E3BAF" w14:paraId="3A893F02" w14:textId="77777777" w:rsidTr="00BC7A19">
        <w:tc>
          <w:tcPr>
            <w:tcW w:w="10080" w:type="dxa"/>
          </w:tcPr>
          <w:p w14:paraId="07253C5C" w14:textId="77777777" w:rsidR="002E3BAF" w:rsidRPr="002E3BAF" w:rsidRDefault="002E3BAF" w:rsidP="002E3BAF">
            <w:pPr>
              <w:ind w:left="-90" w:firstLine="9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</w:tbl>
    <w:p w14:paraId="3E43024C" w14:textId="77777777" w:rsidR="002E3BAF" w:rsidRPr="002E3BAF" w:rsidRDefault="002E3BAF" w:rsidP="002E3BAF">
      <w:pPr>
        <w:spacing w:line="20" w:lineRule="exact"/>
        <w:rPr>
          <w:rFonts w:ascii="Calibri Light" w:hAnsi="Calibri Light"/>
        </w:rPr>
      </w:pPr>
    </w:p>
    <w:p w14:paraId="2BBBFDE5" w14:textId="77777777" w:rsidR="00A668DB" w:rsidRPr="00A668DB" w:rsidRDefault="00A668DB" w:rsidP="00A668DB"/>
    <w:sectPr w:rsidR="00A668DB" w:rsidRPr="00A668DB" w:rsidSect="00F946A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376" w:right="1080" w:bottom="1440" w:left="1080" w:header="720" w:footer="576" w:gutter="0"/>
      <w:pgNumType w:start="1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0FD4" w16cex:dateUtc="2020-09-21T15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4FFEB" w14:textId="77777777" w:rsidR="006E32A3" w:rsidRDefault="006E32A3">
      <w:pPr>
        <w:spacing w:line="240" w:lineRule="auto"/>
      </w:pPr>
      <w:r>
        <w:separator/>
      </w:r>
    </w:p>
  </w:endnote>
  <w:endnote w:type="continuationSeparator" w:id="0">
    <w:p w14:paraId="4704E2B0" w14:textId="77777777" w:rsidR="006E32A3" w:rsidRDefault="006E3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96D8A" w14:textId="6E87CC74" w:rsidR="00BC7A19" w:rsidRPr="00BC7A19" w:rsidRDefault="00BB6632" w:rsidP="00BC7A19">
    <w:pPr>
      <w:tabs>
        <w:tab w:val="center" w:pos="4860"/>
        <w:tab w:val="right" w:pos="10080"/>
        <w:tab w:val="right" w:pos="10800"/>
      </w:tabs>
      <w:spacing w:line="280" w:lineRule="atLeast"/>
      <w:ind w:right="360"/>
      <w:rPr>
        <w:rFonts w:asciiTheme="minorHAnsi" w:hAnsiTheme="minorHAnsi" w:cs="Calibri"/>
        <w:color w:val="000000"/>
        <w:sz w:val="20"/>
      </w:rPr>
    </w:pPr>
    <w:hyperlink r:id="rId1" w:tooltip="IDEA Data Center website" w:history="1">
      <w:r w:rsidR="00BC7A19" w:rsidRPr="00BC7A19">
        <w:rPr>
          <w:rFonts w:asciiTheme="minorHAnsi" w:hAnsiTheme="minorHAnsi" w:cs="Calibri"/>
          <w:color w:val="000000"/>
          <w:sz w:val="20"/>
        </w:rPr>
        <w:t>www.ideadata.org</w:t>
      </w:r>
    </w:hyperlink>
    <w:r w:rsidR="00BC7A19" w:rsidRPr="00BC7A19">
      <w:rPr>
        <w:rFonts w:asciiTheme="minorHAnsi" w:hAnsiTheme="minorHAnsi" w:cs="Calibri"/>
        <w:color w:val="000000"/>
        <w:sz w:val="20"/>
      </w:rPr>
      <w:tab/>
    </w:r>
    <w:r w:rsidR="00BC7A19" w:rsidRPr="00BC7A19">
      <w:rPr>
        <w:rFonts w:asciiTheme="minorHAnsi" w:hAnsiTheme="minorHAnsi" w:cs="Calibri"/>
        <w:color w:val="000000"/>
        <w:sz w:val="20"/>
      </w:rPr>
      <w:tab/>
    </w:r>
    <w:r w:rsidR="00BC7A19" w:rsidRPr="00BC7A19">
      <w:rPr>
        <w:rFonts w:asciiTheme="minorHAnsi" w:hAnsiTheme="minorHAnsi" w:cs="Calibri"/>
        <w:color w:val="000000"/>
        <w:sz w:val="20"/>
      </w:rPr>
      <w:fldChar w:fldCharType="begin"/>
    </w:r>
    <w:r w:rsidR="00BC7A19" w:rsidRPr="00BC7A19">
      <w:rPr>
        <w:rFonts w:asciiTheme="minorHAnsi" w:hAnsiTheme="minorHAnsi" w:cs="Calibri"/>
        <w:color w:val="000000"/>
        <w:sz w:val="20"/>
      </w:rPr>
      <w:instrText xml:space="preserve"> PAGE   \* MERGEFORMAT </w:instrText>
    </w:r>
    <w:r w:rsidR="00BC7A19" w:rsidRPr="00BC7A19">
      <w:rPr>
        <w:rFonts w:asciiTheme="minorHAnsi" w:hAnsiTheme="minorHAnsi" w:cs="Calibri"/>
        <w:color w:val="000000"/>
        <w:sz w:val="20"/>
      </w:rPr>
      <w:fldChar w:fldCharType="separate"/>
    </w:r>
    <w:r w:rsidR="000C3430">
      <w:rPr>
        <w:rFonts w:asciiTheme="minorHAnsi" w:hAnsiTheme="minorHAnsi" w:cs="Calibri"/>
        <w:noProof/>
        <w:color w:val="000000"/>
        <w:sz w:val="20"/>
      </w:rPr>
      <w:t>4</w:t>
    </w:r>
    <w:r w:rsidR="00BC7A19" w:rsidRPr="00BC7A19">
      <w:rPr>
        <w:rFonts w:asciiTheme="minorHAnsi" w:hAnsiTheme="minorHAnsi" w:cs="Calibri"/>
        <w:noProof/>
        <w:color w:val="00000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4A127" w14:textId="435A8D03" w:rsidR="00BC7A19" w:rsidRPr="00BC7A19" w:rsidRDefault="00BB6632" w:rsidP="00BC7A19">
    <w:pPr>
      <w:tabs>
        <w:tab w:val="center" w:pos="4860"/>
        <w:tab w:val="right" w:pos="10080"/>
        <w:tab w:val="right" w:pos="10800"/>
      </w:tabs>
      <w:spacing w:line="280" w:lineRule="atLeast"/>
      <w:ind w:right="360"/>
      <w:rPr>
        <w:rFonts w:asciiTheme="minorHAnsi" w:hAnsiTheme="minorHAnsi" w:cs="Calibri"/>
        <w:color w:val="000000"/>
        <w:sz w:val="20"/>
      </w:rPr>
    </w:pPr>
    <w:hyperlink r:id="rId1" w:tooltip="IDEA Data Center website" w:history="1">
      <w:r w:rsidR="00BC7A19" w:rsidRPr="00BC7A19">
        <w:rPr>
          <w:rFonts w:asciiTheme="minorHAnsi" w:hAnsiTheme="minorHAnsi" w:cs="Calibri"/>
          <w:color w:val="000000"/>
          <w:sz w:val="20"/>
        </w:rPr>
        <w:t>www.ideadata.org</w:t>
      </w:r>
    </w:hyperlink>
    <w:r w:rsidR="00BC7A19" w:rsidRPr="00BC7A19">
      <w:rPr>
        <w:rFonts w:asciiTheme="minorHAnsi" w:hAnsiTheme="minorHAnsi" w:cs="Calibri"/>
        <w:color w:val="000000"/>
        <w:sz w:val="20"/>
      </w:rPr>
      <w:tab/>
    </w:r>
    <w:r w:rsidR="00BC7A19" w:rsidRPr="00BC7A19">
      <w:rPr>
        <w:rFonts w:asciiTheme="minorHAnsi" w:hAnsiTheme="minorHAnsi" w:cs="Calibri"/>
        <w:color w:val="000000"/>
        <w:sz w:val="20"/>
      </w:rPr>
      <w:tab/>
    </w:r>
    <w:r w:rsidR="00BC7A19" w:rsidRPr="00BC7A19">
      <w:rPr>
        <w:rFonts w:asciiTheme="minorHAnsi" w:hAnsiTheme="minorHAnsi" w:cs="Calibri"/>
        <w:color w:val="000000"/>
        <w:sz w:val="20"/>
      </w:rPr>
      <w:fldChar w:fldCharType="begin"/>
    </w:r>
    <w:r w:rsidR="00BC7A19" w:rsidRPr="00BC7A19">
      <w:rPr>
        <w:rFonts w:asciiTheme="minorHAnsi" w:hAnsiTheme="minorHAnsi" w:cs="Calibri"/>
        <w:color w:val="000000"/>
        <w:sz w:val="20"/>
      </w:rPr>
      <w:instrText xml:space="preserve"> PAGE   \* MERGEFORMAT </w:instrText>
    </w:r>
    <w:r w:rsidR="00BC7A19" w:rsidRPr="00BC7A19">
      <w:rPr>
        <w:rFonts w:asciiTheme="minorHAnsi" w:hAnsiTheme="minorHAnsi" w:cs="Calibri"/>
        <w:color w:val="000000"/>
        <w:sz w:val="20"/>
      </w:rPr>
      <w:fldChar w:fldCharType="separate"/>
    </w:r>
    <w:r w:rsidR="000C3430">
      <w:rPr>
        <w:rFonts w:asciiTheme="minorHAnsi" w:hAnsiTheme="minorHAnsi" w:cs="Calibri"/>
        <w:noProof/>
        <w:color w:val="000000"/>
        <w:sz w:val="20"/>
      </w:rPr>
      <w:t>1</w:t>
    </w:r>
    <w:r w:rsidR="00BC7A19" w:rsidRPr="00BC7A19">
      <w:rPr>
        <w:rFonts w:asciiTheme="minorHAnsi" w:hAnsiTheme="minorHAnsi" w:cs="Calibri"/>
        <w:noProof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6725A" w14:textId="77777777" w:rsidR="006E32A3" w:rsidRDefault="006E32A3">
      <w:pPr>
        <w:spacing w:line="240" w:lineRule="auto"/>
      </w:pPr>
      <w:r>
        <w:separator/>
      </w:r>
    </w:p>
  </w:footnote>
  <w:footnote w:type="continuationSeparator" w:id="0">
    <w:p w14:paraId="4EBD8533" w14:textId="77777777" w:rsidR="006E32A3" w:rsidRDefault="006E32A3">
      <w:pPr>
        <w:spacing w:line="240" w:lineRule="auto"/>
      </w:pPr>
      <w:r>
        <w:continuationSeparator/>
      </w:r>
    </w:p>
  </w:footnote>
  <w:footnote w:id="1">
    <w:p w14:paraId="2D3D0C37" w14:textId="7990112F" w:rsidR="00251697" w:rsidRPr="00B47219" w:rsidRDefault="00251697" w:rsidP="000E2303">
      <w:pPr>
        <w:pStyle w:val="FootnoteText"/>
        <w:spacing w:before="0"/>
        <w:rPr>
          <w:sz w:val="18"/>
          <w:szCs w:val="18"/>
        </w:rPr>
      </w:pPr>
      <w:r w:rsidRPr="00717918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B47219">
        <w:rPr>
          <w:sz w:val="18"/>
          <w:szCs w:val="18"/>
        </w:rPr>
        <w:t xml:space="preserve"> </w:t>
      </w:r>
      <w:r w:rsidR="000074A8" w:rsidRPr="00B47219">
        <w:rPr>
          <w:rFonts w:asciiTheme="minorHAnsi" w:hAnsiTheme="minorHAnsi" w:cstheme="minorHAnsi"/>
          <w:b/>
          <w:bCs/>
          <w:sz w:val="18"/>
          <w:szCs w:val="18"/>
        </w:rPr>
        <w:t>Data Collection Name:</w:t>
      </w:r>
      <w:r w:rsidR="00EC5122" w:rsidRPr="00B47219">
        <w:rPr>
          <w:rFonts w:asciiTheme="minorHAnsi" w:hAnsiTheme="minorHAnsi" w:cstheme="minorHAnsi"/>
          <w:sz w:val="18"/>
          <w:szCs w:val="18"/>
        </w:rPr>
        <w:t xml:space="preserve"> </w:t>
      </w:r>
      <w:r w:rsidR="000074A8" w:rsidRPr="00B47219">
        <w:rPr>
          <w:rFonts w:asciiTheme="minorHAnsi" w:hAnsiTheme="minorHAnsi" w:cstheme="minorHAnsi"/>
          <w:sz w:val="18"/>
          <w:szCs w:val="18"/>
        </w:rPr>
        <w:t>T</w:t>
      </w:r>
      <w:r w:rsidR="0040162C" w:rsidRPr="00B47219">
        <w:rPr>
          <w:rFonts w:asciiTheme="minorHAnsi" w:hAnsiTheme="minorHAnsi" w:cstheme="minorHAnsi"/>
          <w:sz w:val="18"/>
          <w:szCs w:val="18"/>
        </w:rPr>
        <w:t>his template is customizable</w:t>
      </w:r>
      <w:r w:rsidR="007B2EDF" w:rsidRPr="00B47219">
        <w:rPr>
          <w:rFonts w:asciiTheme="minorHAnsi" w:hAnsiTheme="minorHAnsi" w:cstheme="minorHAnsi"/>
          <w:sz w:val="18"/>
          <w:szCs w:val="18"/>
        </w:rPr>
        <w:t xml:space="preserve"> and</w:t>
      </w:r>
      <w:r w:rsidR="0040162C" w:rsidRPr="00B47219">
        <w:rPr>
          <w:rFonts w:asciiTheme="minorHAnsi" w:hAnsiTheme="minorHAnsi" w:cstheme="minorHAnsi"/>
          <w:sz w:val="18"/>
          <w:szCs w:val="18"/>
        </w:rPr>
        <w:t xml:space="preserve"> </w:t>
      </w:r>
      <w:r w:rsidR="00FA0228" w:rsidRPr="00B47219">
        <w:rPr>
          <w:rFonts w:asciiTheme="minorHAnsi" w:hAnsiTheme="minorHAnsi" w:cstheme="minorHAnsi"/>
          <w:sz w:val="18"/>
          <w:szCs w:val="18"/>
        </w:rPr>
        <w:t xml:space="preserve">users </w:t>
      </w:r>
      <w:r w:rsidR="0040162C" w:rsidRPr="00B47219">
        <w:rPr>
          <w:rFonts w:asciiTheme="minorHAnsi" w:hAnsiTheme="minorHAnsi" w:cstheme="minorHAnsi"/>
          <w:sz w:val="18"/>
          <w:szCs w:val="18"/>
        </w:rPr>
        <w:t xml:space="preserve">should </w:t>
      </w:r>
      <w:r w:rsidR="00DB343B" w:rsidRPr="00B47219">
        <w:rPr>
          <w:rFonts w:asciiTheme="minorHAnsi" w:hAnsiTheme="minorHAnsi" w:cstheme="minorHAnsi"/>
          <w:sz w:val="18"/>
          <w:szCs w:val="18"/>
        </w:rPr>
        <w:t>update</w:t>
      </w:r>
      <w:r w:rsidR="00FA0228" w:rsidRPr="00B47219">
        <w:rPr>
          <w:rFonts w:asciiTheme="minorHAnsi" w:hAnsiTheme="minorHAnsi" w:cstheme="minorHAnsi"/>
          <w:sz w:val="18"/>
          <w:szCs w:val="18"/>
        </w:rPr>
        <w:t xml:space="preserve"> it</w:t>
      </w:r>
      <w:r w:rsidR="0040162C" w:rsidRPr="00B47219">
        <w:rPr>
          <w:rFonts w:asciiTheme="minorHAnsi" w:hAnsiTheme="minorHAnsi" w:cstheme="minorHAnsi"/>
          <w:sz w:val="18"/>
          <w:szCs w:val="18"/>
        </w:rPr>
        <w:t xml:space="preserve"> to reflect the language used within the state. Local education agencies may be referred to as LEAs, districts, etc.</w:t>
      </w:r>
    </w:p>
  </w:footnote>
  <w:footnote w:id="2">
    <w:p w14:paraId="51436FE6" w14:textId="793369F1" w:rsidR="005477E5" w:rsidRPr="007A6141" w:rsidRDefault="005477E5" w:rsidP="000E2303">
      <w:pPr>
        <w:pStyle w:val="FootnoteText"/>
        <w:spacing w:before="0"/>
        <w:rPr>
          <w:rFonts w:asciiTheme="minorHAnsi" w:hAnsiTheme="minorHAnsi" w:cstheme="minorHAnsi"/>
        </w:rPr>
      </w:pPr>
      <w:r w:rsidRPr="00717918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B47219">
        <w:rPr>
          <w:color w:val="000000" w:themeColor="text1"/>
          <w:sz w:val="18"/>
          <w:szCs w:val="18"/>
        </w:rPr>
        <w:t xml:space="preserve"> </w:t>
      </w:r>
      <w:r w:rsidR="000074A8" w:rsidRPr="00B4721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Child Count Date and Required Data Containing Unduplicated Counts of Children and Educational Environments</w:t>
      </w:r>
      <w:r w:rsidR="00EC5122" w:rsidRPr="00B4721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:</w:t>
      </w:r>
      <w:r w:rsidR="002C35EF" w:rsidRPr="00B4721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533ABB" w:rsidRPr="00B47219">
        <w:rPr>
          <w:rFonts w:asciiTheme="minorHAnsi" w:hAnsiTheme="minorHAnsi" w:cstheme="minorHAnsi"/>
          <w:sz w:val="18"/>
          <w:szCs w:val="18"/>
        </w:rPr>
        <w:t>Refer to the SEA’s policies and procedures document for definitions of these educational environments</w:t>
      </w:r>
      <w:r w:rsidR="00DB343B" w:rsidRPr="00B47219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507DDC7C" w14:textId="1AAA0B44" w:rsidR="00E14F19" w:rsidRPr="00F92A74" w:rsidRDefault="00E14F19" w:rsidP="00BC7A19">
      <w:pPr>
        <w:pStyle w:val="FootnoteText"/>
        <w:spacing w:before="0"/>
        <w:rPr>
          <w:sz w:val="18"/>
          <w:szCs w:val="18"/>
        </w:rPr>
      </w:pPr>
      <w:r w:rsidRPr="00717918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BC7A19" w:rsidRPr="00F92A74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F92A74">
        <w:rPr>
          <w:rFonts w:asciiTheme="minorHAnsi" w:hAnsiTheme="minorHAnsi" w:cstheme="minorHAnsi"/>
          <w:b/>
          <w:bCs/>
          <w:sz w:val="18"/>
          <w:szCs w:val="18"/>
        </w:rPr>
        <w:t>Data Staff:</w:t>
      </w:r>
      <w:r w:rsidR="00EC5122" w:rsidRPr="00F92A74">
        <w:rPr>
          <w:rFonts w:asciiTheme="minorHAnsi" w:hAnsiTheme="minorHAnsi" w:cstheme="minorHAnsi"/>
          <w:sz w:val="18"/>
          <w:szCs w:val="18"/>
        </w:rPr>
        <w:t xml:space="preserve"> </w:t>
      </w:r>
      <w:r w:rsidRPr="00F92A74">
        <w:rPr>
          <w:rFonts w:asciiTheme="minorHAnsi" w:hAnsiTheme="minorHAnsi" w:cstheme="minorHAnsi"/>
          <w:sz w:val="18"/>
          <w:szCs w:val="18"/>
        </w:rPr>
        <w:t xml:space="preserve">When reviewing processes and procedures for </w:t>
      </w:r>
      <w:r w:rsidR="0059285E" w:rsidRPr="00F92A74">
        <w:rPr>
          <w:rFonts w:asciiTheme="minorHAnsi" w:hAnsiTheme="minorHAnsi" w:cstheme="minorHAnsi"/>
          <w:sz w:val="18"/>
          <w:szCs w:val="18"/>
        </w:rPr>
        <w:t>C</w:t>
      </w:r>
      <w:r w:rsidRPr="00F92A74">
        <w:rPr>
          <w:rFonts w:asciiTheme="minorHAnsi" w:hAnsiTheme="minorHAnsi" w:cstheme="minorHAnsi"/>
          <w:sz w:val="18"/>
          <w:szCs w:val="18"/>
        </w:rPr>
        <w:t xml:space="preserve">hild </w:t>
      </w:r>
      <w:r w:rsidR="0059285E" w:rsidRPr="00F92A74">
        <w:rPr>
          <w:rFonts w:asciiTheme="minorHAnsi" w:hAnsiTheme="minorHAnsi" w:cstheme="minorHAnsi"/>
          <w:sz w:val="18"/>
          <w:szCs w:val="18"/>
        </w:rPr>
        <w:t>C</w:t>
      </w:r>
      <w:r w:rsidRPr="00F92A74">
        <w:rPr>
          <w:rFonts w:asciiTheme="minorHAnsi" w:hAnsiTheme="minorHAnsi" w:cstheme="minorHAnsi"/>
          <w:sz w:val="18"/>
          <w:szCs w:val="18"/>
        </w:rPr>
        <w:t xml:space="preserve">ount </w:t>
      </w:r>
      <w:r w:rsidR="0059285E" w:rsidRPr="00F92A74">
        <w:rPr>
          <w:rFonts w:asciiTheme="minorHAnsi" w:hAnsiTheme="minorHAnsi" w:cstheme="minorHAnsi"/>
          <w:sz w:val="18"/>
          <w:szCs w:val="18"/>
        </w:rPr>
        <w:t xml:space="preserve">and Educational Environments </w:t>
      </w:r>
      <w:r w:rsidRPr="00F92A74">
        <w:rPr>
          <w:rFonts w:asciiTheme="minorHAnsi" w:hAnsiTheme="minorHAnsi" w:cstheme="minorHAnsi"/>
          <w:sz w:val="18"/>
          <w:szCs w:val="18"/>
        </w:rPr>
        <w:t xml:space="preserve">data collection and </w:t>
      </w:r>
      <w:r w:rsidR="0059285E" w:rsidRPr="00F92A74">
        <w:rPr>
          <w:rFonts w:asciiTheme="minorHAnsi" w:hAnsiTheme="minorHAnsi" w:cstheme="minorHAnsi"/>
          <w:sz w:val="18"/>
          <w:szCs w:val="18"/>
        </w:rPr>
        <w:t>submission</w:t>
      </w:r>
      <w:r w:rsidRPr="00F92A74">
        <w:rPr>
          <w:rFonts w:asciiTheme="minorHAnsi" w:hAnsiTheme="minorHAnsi" w:cstheme="minorHAnsi"/>
          <w:sz w:val="18"/>
          <w:szCs w:val="18"/>
        </w:rPr>
        <w:t xml:space="preserve">, include all departments associated with this collection. This often includes </w:t>
      </w:r>
      <w:r w:rsidR="00FA0228" w:rsidRPr="00F92A74">
        <w:rPr>
          <w:rFonts w:asciiTheme="minorHAnsi" w:hAnsiTheme="minorHAnsi" w:cstheme="minorHAnsi"/>
          <w:sz w:val="18"/>
          <w:szCs w:val="18"/>
        </w:rPr>
        <w:t xml:space="preserve">data and </w:t>
      </w:r>
      <w:r w:rsidR="00211C37" w:rsidRPr="00F92A74">
        <w:rPr>
          <w:rFonts w:asciiTheme="minorHAnsi" w:hAnsiTheme="minorHAnsi" w:cstheme="minorHAnsi"/>
          <w:sz w:val="18"/>
          <w:szCs w:val="18"/>
        </w:rPr>
        <w:t>special education personnel</w:t>
      </w:r>
      <w:r w:rsidR="0059285E" w:rsidRPr="00F92A74">
        <w:rPr>
          <w:rFonts w:asciiTheme="minorHAnsi" w:hAnsiTheme="minorHAnsi" w:cstheme="minorHAnsi"/>
          <w:sz w:val="18"/>
          <w:szCs w:val="18"/>
        </w:rPr>
        <w:t xml:space="preserve"> and other school coordinators</w:t>
      </w:r>
      <w:r w:rsidRPr="00F92A74">
        <w:rPr>
          <w:rFonts w:asciiTheme="minorHAnsi" w:hAnsiTheme="minorHAnsi" w:cstheme="minorHAnsi"/>
          <w:sz w:val="18"/>
          <w:szCs w:val="18"/>
        </w:rPr>
        <w:t>.</w:t>
      </w:r>
    </w:p>
  </w:footnote>
  <w:footnote w:id="4">
    <w:p w14:paraId="51203CE2" w14:textId="4FEFD75B" w:rsidR="002E3BAF" w:rsidRPr="00F92A74" w:rsidRDefault="002E3BAF" w:rsidP="000E2303">
      <w:pPr>
        <w:pStyle w:val="FootnoteText"/>
        <w:spacing w:before="0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F92A74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F92A7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ab/>
        <w:t>Data Validation</w:t>
      </w:r>
      <w:r w:rsidR="00EC45E0" w:rsidRPr="00F92A7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:</w:t>
      </w:r>
    </w:p>
    <w:p w14:paraId="5CCC837D" w14:textId="7DDE332F" w:rsidR="002E3BAF" w:rsidRPr="00F92A74" w:rsidRDefault="002E3BAF" w:rsidP="000E2303">
      <w:pPr>
        <w:pStyle w:val="N2-2ndBullet"/>
        <w:numPr>
          <w:ilvl w:val="0"/>
          <w:numId w:val="24"/>
        </w:numPr>
        <w:spacing w:after="0" w:line="200" w:lineRule="atLeast"/>
        <w:ind w:left="547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92A7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Confirm sums of all category sets and subtotals reported equal to the education unit total at each level of the Child Count files. </w:t>
      </w:r>
    </w:p>
    <w:p w14:paraId="2CDD4700" w14:textId="26F96B9E" w:rsidR="002E3BAF" w:rsidRPr="00F92A74" w:rsidRDefault="002E3BAF" w:rsidP="000E2303">
      <w:pPr>
        <w:pStyle w:val="N2-2ndBullet"/>
        <w:numPr>
          <w:ilvl w:val="0"/>
          <w:numId w:val="24"/>
        </w:numPr>
        <w:spacing w:after="0" w:line="200" w:lineRule="atLeast"/>
        <w:ind w:left="547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92A74">
        <w:rPr>
          <w:rFonts w:asciiTheme="minorHAnsi" w:hAnsiTheme="minorHAnsi" w:cstheme="minorHAnsi"/>
          <w:color w:val="000000" w:themeColor="text1"/>
          <w:sz w:val="18"/>
          <w:szCs w:val="18"/>
        </w:rPr>
        <w:t>Compare year-to-year LEA</w:t>
      </w:r>
      <w:r w:rsidR="00AE2EBC" w:rsidRPr="00F92A7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and school</w:t>
      </w:r>
      <w:r w:rsidRPr="00F92A7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counts to identify possible data quality issues. </w:t>
      </w:r>
    </w:p>
    <w:p w14:paraId="3FF996C1" w14:textId="62795D37" w:rsidR="002E3BAF" w:rsidRPr="00F92A74" w:rsidRDefault="002E3BAF" w:rsidP="000E2303">
      <w:pPr>
        <w:pStyle w:val="N2-2ndBullet"/>
        <w:numPr>
          <w:ilvl w:val="0"/>
          <w:numId w:val="24"/>
        </w:numPr>
        <w:spacing w:after="0" w:line="200" w:lineRule="atLeast"/>
        <w:ind w:left="547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92A7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Check master file for duplicate records. Verify correct association of student records with </w:t>
      </w:r>
      <w:r w:rsidR="00244608" w:rsidRPr="00F92A74">
        <w:rPr>
          <w:rFonts w:asciiTheme="minorHAnsi" w:hAnsiTheme="minorHAnsi" w:cstheme="minorHAnsi"/>
          <w:color w:val="000000" w:themeColor="text1"/>
          <w:sz w:val="18"/>
          <w:szCs w:val="18"/>
        </w:rPr>
        <w:t>schools</w:t>
      </w:r>
      <w:r w:rsidRPr="00F92A7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</w:t>
      </w:r>
    </w:p>
  </w:footnote>
  <w:footnote w:id="5">
    <w:p w14:paraId="65193617" w14:textId="2299E933" w:rsidR="002E3BAF" w:rsidRPr="00F92A74" w:rsidRDefault="002E3BAF" w:rsidP="000E2303">
      <w:pPr>
        <w:pStyle w:val="FootnoteText"/>
        <w:spacing w:before="0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F92A74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F92A7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ab/>
        <w:t>Internal Approval Process</w:t>
      </w:r>
      <w:r w:rsidR="00EC45E0" w:rsidRPr="00F92A7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:</w:t>
      </w:r>
    </w:p>
    <w:p w14:paraId="23FF85AE" w14:textId="127F27D7" w:rsidR="002E3BAF" w:rsidRPr="00F92A74" w:rsidRDefault="002E3BAF" w:rsidP="000E2303">
      <w:pPr>
        <w:pStyle w:val="N2-2ndBullet"/>
        <w:numPr>
          <w:ilvl w:val="0"/>
          <w:numId w:val="24"/>
        </w:numPr>
        <w:spacing w:after="0" w:line="200" w:lineRule="atLeast"/>
        <w:ind w:left="547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92A7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Describe any internal </w:t>
      </w:r>
      <w:r w:rsidR="002C1E4A" w:rsidRPr="00F92A74">
        <w:rPr>
          <w:rFonts w:asciiTheme="minorHAnsi" w:hAnsiTheme="minorHAnsi" w:cstheme="minorHAnsi"/>
          <w:color w:val="000000" w:themeColor="text1"/>
          <w:sz w:val="18"/>
          <w:szCs w:val="18"/>
        </w:rPr>
        <w:t>LEA</w:t>
      </w:r>
      <w:r w:rsidRPr="00F92A7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0C6158">
        <w:rPr>
          <w:rFonts w:asciiTheme="minorHAnsi" w:hAnsiTheme="minorHAnsi" w:cstheme="minorHAnsi"/>
          <w:color w:val="000000" w:themeColor="text1"/>
          <w:sz w:val="18"/>
          <w:szCs w:val="18"/>
        </w:rPr>
        <w:t>process</w:t>
      </w:r>
      <w:r w:rsidRPr="00F92A7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BA17CB" w:rsidRPr="00F92A7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the LEA </w:t>
      </w:r>
      <w:r w:rsidRPr="00F92A74">
        <w:rPr>
          <w:rFonts w:asciiTheme="minorHAnsi" w:hAnsiTheme="minorHAnsi" w:cstheme="minorHAnsi"/>
          <w:color w:val="000000" w:themeColor="text1"/>
          <w:sz w:val="18"/>
          <w:szCs w:val="18"/>
        </w:rPr>
        <w:t>use</w:t>
      </w:r>
      <w:r w:rsidR="00BA17CB" w:rsidRPr="00F92A74">
        <w:rPr>
          <w:rFonts w:asciiTheme="minorHAnsi" w:hAnsiTheme="minorHAnsi" w:cstheme="minorHAnsi"/>
          <w:color w:val="000000" w:themeColor="text1"/>
          <w:sz w:val="18"/>
          <w:szCs w:val="18"/>
        </w:rPr>
        <w:t>s</w:t>
      </w:r>
      <w:r w:rsidRPr="00F92A7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or require</w:t>
      </w:r>
      <w:r w:rsidR="00BA17CB" w:rsidRPr="00F92A74">
        <w:rPr>
          <w:rFonts w:asciiTheme="minorHAnsi" w:hAnsiTheme="minorHAnsi" w:cstheme="minorHAnsi"/>
          <w:color w:val="000000" w:themeColor="text1"/>
          <w:sz w:val="18"/>
          <w:szCs w:val="18"/>
        </w:rPr>
        <w:t>s</w:t>
      </w:r>
      <w:r w:rsidRPr="00F92A7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to certify these data as final. This might include the </w:t>
      </w:r>
      <w:r w:rsidR="00BA17CB" w:rsidRPr="00F92A7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data manager </w:t>
      </w:r>
      <w:r w:rsidRPr="00F92A74">
        <w:rPr>
          <w:rFonts w:asciiTheme="minorHAnsi" w:hAnsiTheme="minorHAnsi" w:cstheme="minorHAnsi"/>
          <w:color w:val="000000" w:themeColor="text1"/>
          <w:sz w:val="18"/>
          <w:szCs w:val="18"/>
        </w:rPr>
        <w:t>sharing/vetting data with other staff</w:t>
      </w:r>
      <w:r w:rsidR="00B172ED" w:rsidRPr="00F92A74">
        <w:rPr>
          <w:rFonts w:asciiTheme="minorHAnsi" w:hAnsiTheme="minorHAnsi" w:cstheme="minorHAnsi"/>
          <w:color w:val="000000" w:themeColor="text1"/>
          <w:sz w:val="18"/>
          <w:szCs w:val="18"/>
        </w:rPr>
        <w:t>,</w:t>
      </w:r>
      <w:r w:rsidRPr="00F92A7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such as</w:t>
      </w:r>
      <w:r w:rsidR="002C1E4A" w:rsidRPr="00F92A7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the</w:t>
      </w:r>
      <w:r w:rsidRPr="00F92A7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special education director</w:t>
      </w:r>
      <w:r w:rsidR="002C1E4A" w:rsidRPr="00F92A74">
        <w:rPr>
          <w:rFonts w:asciiTheme="minorHAnsi" w:hAnsiTheme="minorHAnsi" w:cstheme="minorHAnsi"/>
          <w:color w:val="000000" w:themeColor="text1"/>
          <w:sz w:val="18"/>
          <w:szCs w:val="18"/>
        </w:rPr>
        <w:t>, special education coordinator,</w:t>
      </w:r>
      <w:r w:rsidRPr="00F92A7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etc. </w:t>
      </w:r>
    </w:p>
  </w:footnote>
  <w:footnote w:id="6">
    <w:p w14:paraId="1CB839DB" w14:textId="37FCC64B" w:rsidR="002E3BAF" w:rsidRPr="00F92A74" w:rsidRDefault="002E3BAF" w:rsidP="000E2303">
      <w:pPr>
        <w:pStyle w:val="FootnoteText"/>
        <w:spacing w:before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92A74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F92A7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ab/>
        <w:t>Submission</w:t>
      </w:r>
      <w:r w:rsidR="00EC5122" w:rsidRPr="00F92A7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: </w:t>
      </w:r>
      <w:r w:rsidRPr="00F92A7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Describe where and how </w:t>
      </w:r>
      <w:r w:rsidR="00EC45E0" w:rsidRPr="00F92A7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the </w:t>
      </w:r>
      <w:r w:rsidR="00150ACE" w:rsidRPr="00F92A7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LEA </w:t>
      </w:r>
      <w:r w:rsidR="00EC45E0" w:rsidRPr="00F92A7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stores </w:t>
      </w:r>
      <w:r w:rsidR="00E52AA8" w:rsidRPr="00F92A7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or accesses a copy of the submitted </w:t>
      </w:r>
      <w:r w:rsidR="00BA17CB" w:rsidRPr="00F92A7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Child Count </w:t>
      </w:r>
      <w:r w:rsidR="00B02E4A" w:rsidRPr="00F92A7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and Educational Environments </w:t>
      </w:r>
      <w:r w:rsidR="00E52AA8" w:rsidRPr="00F92A74">
        <w:rPr>
          <w:rFonts w:asciiTheme="minorHAnsi" w:hAnsiTheme="minorHAnsi" w:cstheme="minorHAnsi"/>
          <w:color w:val="000000" w:themeColor="text1"/>
          <w:sz w:val="18"/>
          <w:szCs w:val="18"/>
        </w:rPr>
        <w:t>file(s)</w:t>
      </w:r>
      <w:r w:rsidRPr="00F92A7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for future reference.</w:t>
      </w:r>
    </w:p>
  </w:footnote>
  <w:footnote w:id="7">
    <w:p w14:paraId="604908FE" w14:textId="41F7E998" w:rsidR="007F17CC" w:rsidRDefault="007F17CC" w:rsidP="000E2303">
      <w:pPr>
        <w:pStyle w:val="FootnoteText"/>
        <w:spacing w:before="0"/>
      </w:pPr>
      <w:r w:rsidRPr="00717918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BC7A19" w:rsidRPr="00717918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ab/>
      </w:r>
      <w:r w:rsidRPr="00F92A74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Data Analysis:</w:t>
      </w:r>
      <w:r w:rsidR="00EC5122" w:rsidRPr="00F92A7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120255" w:rsidRPr="00F92A7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Review data year to year, looking for patterns districtwide and within schools, outliers, </w:t>
      </w:r>
      <w:r w:rsidR="00123293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and </w:t>
      </w:r>
      <w:r w:rsidR="00120255" w:rsidRPr="00F92A74">
        <w:rPr>
          <w:rFonts w:asciiTheme="minorHAnsi" w:hAnsiTheme="minorHAnsi" w:cstheme="minorHAnsi"/>
          <w:color w:val="000000" w:themeColor="text1"/>
          <w:sz w:val="18"/>
          <w:szCs w:val="18"/>
        </w:rPr>
        <w:t>information about whether targets are met or not met.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AF816" w14:textId="267A4198" w:rsidR="002E3BAF" w:rsidRPr="002E3BAF" w:rsidRDefault="002E3BAF" w:rsidP="002E3BAF">
    <w:pPr>
      <w:pBdr>
        <w:bottom w:val="single" w:sz="4" w:space="1" w:color="595959" w:themeColor="text1" w:themeTint="A6"/>
      </w:pBdr>
      <w:tabs>
        <w:tab w:val="right" w:pos="10800"/>
      </w:tabs>
      <w:spacing w:after="480"/>
      <w:rPr>
        <w:rFonts w:asciiTheme="minorHAnsi" w:hAnsiTheme="minorHAnsi" w:cstheme="minorHAnsi"/>
        <w:color w:val="000000" w:themeColor="text1"/>
        <w:sz w:val="16"/>
        <w:szCs w:val="16"/>
      </w:rPr>
    </w:pPr>
    <w:r w:rsidRPr="002E3BAF">
      <w:rPr>
        <w:rFonts w:asciiTheme="minorHAnsi" w:hAnsiTheme="minorHAnsi" w:cstheme="minorHAnsi"/>
        <w:noProof/>
        <w:color w:val="000000" w:themeColor="text1"/>
        <w:sz w:val="16"/>
        <w:szCs w:val="16"/>
      </w:rPr>
      <w:drawing>
        <wp:anchor distT="0" distB="0" distL="114300" distR="114300" simplePos="0" relativeHeight="251658752" behindDoc="0" locked="0" layoutInCell="1" allowOverlap="1" wp14:anchorId="00DFA088" wp14:editId="1E1E3808">
          <wp:simplePos x="0" y="0"/>
          <wp:positionH relativeFrom="margin">
            <wp:posOffset>5505450</wp:posOffset>
          </wp:positionH>
          <wp:positionV relativeFrom="margin">
            <wp:posOffset>-1343025</wp:posOffset>
          </wp:positionV>
          <wp:extent cx="889635" cy="572770"/>
          <wp:effectExtent l="0" t="0" r="571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C-2019-Logo_boxon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430B">
      <w:rPr>
        <w:rFonts w:asciiTheme="minorHAnsi" w:hAnsiTheme="minorHAnsi" w:cstheme="minorHAnsi"/>
        <w:noProof/>
        <w:color w:val="000000" w:themeColor="text1"/>
        <w:sz w:val="16"/>
        <w:szCs w:val="16"/>
      </w:rPr>
      <w:t>L</w:t>
    </w:r>
    <w:r w:rsidRPr="002E3BAF">
      <w:rPr>
        <w:rFonts w:asciiTheme="minorHAnsi" w:hAnsiTheme="minorHAnsi" w:cstheme="minorHAnsi"/>
        <w:noProof/>
        <w:color w:val="000000" w:themeColor="text1"/>
        <w:sz w:val="16"/>
        <w:szCs w:val="16"/>
      </w:rPr>
      <w:t>EA</w:t>
    </w:r>
    <w:r w:rsidRPr="002E3BAF">
      <w:rPr>
        <w:rFonts w:asciiTheme="minorHAnsi" w:hAnsiTheme="minorHAnsi" w:cstheme="minorHAnsi"/>
        <w:color w:val="000000" w:themeColor="text1"/>
        <w:sz w:val="16"/>
        <w:szCs w:val="16"/>
      </w:rPr>
      <w:t xml:space="preserve"> Data Processes Toolkit</w:t>
    </w:r>
  </w:p>
  <w:p w14:paraId="4D8C1B70" w14:textId="19AF2C5C" w:rsidR="002E3BAF" w:rsidRPr="00BC7A19" w:rsidRDefault="002E3BAF" w:rsidP="002E3BAF">
    <w:pPr>
      <w:pBdr>
        <w:bottom w:val="single" w:sz="18" w:space="8" w:color="01579B"/>
      </w:pBdr>
      <w:tabs>
        <w:tab w:val="right" w:pos="10800"/>
      </w:tabs>
      <w:jc w:val="center"/>
      <w:rPr>
        <w:rFonts w:asciiTheme="minorHAnsi" w:hAnsiTheme="minorHAnsi"/>
        <w:b/>
        <w:color w:val="006960"/>
        <w:sz w:val="32"/>
        <w:szCs w:val="32"/>
      </w:rPr>
    </w:pPr>
    <w:r w:rsidRPr="00BC7A19">
      <w:rPr>
        <w:rFonts w:asciiTheme="minorHAnsi" w:hAnsiTheme="minorHAnsi"/>
        <w:b/>
        <w:color w:val="006960"/>
        <w:sz w:val="32"/>
        <w:szCs w:val="32"/>
      </w:rPr>
      <w:t>Data Collection Protocol—</w:t>
    </w:r>
    <w:r w:rsidR="009A3514" w:rsidRPr="00BC7A19">
      <w:rPr>
        <w:rFonts w:asciiTheme="minorHAnsi" w:hAnsiTheme="minorHAnsi"/>
        <w:b/>
        <w:color w:val="006960"/>
        <w:sz w:val="32"/>
        <w:szCs w:val="32"/>
      </w:rPr>
      <w:t>Child Count and Educational Environments</w:t>
    </w:r>
  </w:p>
  <w:p w14:paraId="1305816A" w14:textId="77777777" w:rsidR="002E3BAF" w:rsidRPr="002E3BAF" w:rsidRDefault="002E3BAF" w:rsidP="002E3BAF">
    <w:pPr>
      <w:keepNext/>
      <w:rPr>
        <w:rFonts w:ascii="Calibri Light" w:hAnsi="Calibri Light"/>
        <w:b/>
        <w:color w:val="FFFFFF" w:themeColor="background1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A923" w14:textId="21236CCD" w:rsidR="00751ECF" w:rsidRDefault="00F217B6" w:rsidP="002E3BAF">
    <w:pPr>
      <w:pStyle w:val="SL-FlLftSgl"/>
    </w:pPr>
    <w:r>
      <w:rPr>
        <w:noProof/>
      </w:rPr>
      <w:drawing>
        <wp:inline distT="0" distB="0" distL="0" distR="0" wp14:anchorId="6711B6DB" wp14:editId="6761D58F">
          <wp:extent cx="6400813" cy="16002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DC_LEA_Data_Processes_Toolkit_Banners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13" cy="1600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02F3"/>
    <w:multiLevelType w:val="hybridMultilevel"/>
    <w:tmpl w:val="CAA4B33E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24938"/>
    <w:multiLevelType w:val="hybridMultilevel"/>
    <w:tmpl w:val="0068DBF0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A5A1C"/>
    <w:multiLevelType w:val="hybridMultilevel"/>
    <w:tmpl w:val="CDA6E644"/>
    <w:lvl w:ilvl="0" w:tplc="1F1A67F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D013B"/>
    <w:multiLevelType w:val="hybridMultilevel"/>
    <w:tmpl w:val="7F24E59E"/>
    <w:lvl w:ilvl="0" w:tplc="95729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84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C137A"/>
    <w:multiLevelType w:val="hybridMultilevel"/>
    <w:tmpl w:val="CF9C4C10"/>
    <w:lvl w:ilvl="0" w:tplc="4238E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26847A"/>
        <w:sz w:val="20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B4477"/>
    <w:multiLevelType w:val="hybridMultilevel"/>
    <w:tmpl w:val="29B0AF44"/>
    <w:lvl w:ilvl="0" w:tplc="345E737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B188C"/>
    <w:multiLevelType w:val="hybridMultilevel"/>
    <w:tmpl w:val="C7B62EA8"/>
    <w:lvl w:ilvl="0" w:tplc="E8EAFB8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81732"/>
    <w:multiLevelType w:val="hybridMultilevel"/>
    <w:tmpl w:val="0270E9F6"/>
    <w:lvl w:ilvl="0" w:tplc="E5383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26847A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95D27"/>
    <w:multiLevelType w:val="singleLevel"/>
    <w:tmpl w:val="C5447E78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9" w15:restartNumberingAfterBreak="0">
    <w:nsid w:val="3E272F80"/>
    <w:multiLevelType w:val="hybridMultilevel"/>
    <w:tmpl w:val="4C8024F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2256E9"/>
    <w:multiLevelType w:val="hybridMultilevel"/>
    <w:tmpl w:val="F678F6EA"/>
    <w:lvl w:ilvl="0" w:tplc="E5626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96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CB2CD2"/>
    <w:multiLevelType w:val="hybridMultilevel"/>
    <w:tmpl w:val="0C487A0C"/>
    <w:lvl w:ilvl="0" w:tplc="C590CF9C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007E8E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625C269E"/>
    <w:multiLevelType w:val="hybridMultilevel"/>
    <w:tmpl w:val="A8CAC676"/>
    <w:lvl w:ilvl="0" w:tplc="2C3A1E6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71BC1859"/>
    <w:multiLevelType w:val="hybridMultilevel"/>
    <w:tmpl w:val="241A5E20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13"/>
  </w:num>
  <w:num w:numId="18">
    <w:abstractNumId w:val="0"/>
  </w:num>
  <w:num w:numId="19">
    <w:abstractNumId w:val="8"/>
  </w:num>
  <w:num w:numId="20">
    <w:abstractNumId w:val="9"/>
  </w:num>
  <w:num w:numId="21">
    <w:abstractNumId w:val="1"/>
  </w:num>
  <w:num w:numId="22">
    <w:abstractNumId w:val="13"/>
  </w:num>
  <w:num w:numId="23">
    <w:abstractNumId w:val="12"/>
  </w:num>
  <w:num w:numId="24">
    <w:abstractNumId w:val="11"/>
  </w:num>
  <w:num w:numId="25">
    <w:abstractNumId w:val="7"/>
  </w:num>
  <w:num w:numId="26">
    <w:abstractNumId w:val="4"/>
  </w:num>
  <w:num w:numId="27">
    <w:abstractNumId w:val="3"/>
  </w:num>
  <w:num w:numId="28">
    <w:abstractNumId w:val="6"/>
  </w:num>
  <w:num w:numId="29">
    <w:abstractNumId w:val="2"/>
  </w:num>
  <w:num w:numId="30">
    <w:abstractNumId w:val="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2NjC1NDA0MzAzNDZW0lEKTi0uzszPAykwqgUARRRTjiwAAAA="/>
  </w:docVars>
  <w:rsids>
    <w:rsidRoot w:val="002E3BAF"/>
    <w:rsid w:val="00002764"/>
    <w:rsid w:val="000074A8"/>
    <w:rsid w:val="00030D86"/>
    <w:rsid w:val="000350E9"/>
    <w:rsid w:val="00036AF4"/>
    <w:rsid w:val="00043871"/>
    <w:rsid w:val="000447C2"/>
    <w:rsid w:val="00047085"/>
    <w:rsid w:val="00051CB9"/>
    <w:rsid w:val="00051FAB"/>
    <w:rsid w:val="00057925"/>
    <w:rsid w:val="0006498E"/>
    <w:rsid w:val="00066207"/>
    <w:rsid w:val="00073632"/>
    <w:rsid w:val="00073F2D"/>
    <w:rsid w:val="00076495"/>
    <w:rsid w:val="00091A23"/>
    <w:rsid w:val="000C33DB"/>
    <w:rsid w:val="000C3430"/>
    <w:rsid w:val="000C6158"/>
    <w:rsid w:val="000D02CD"/>
    <w:rsid w:val="000D51B5"/>
    <w:rsid w:val="000E07BE"/>
    <w:rsid w:val="000E2303"/>
    <w:rsid w:val="000F4CFB"/>
    <w:rsid w:val="000F4F70"/>
    <w:rsid w:val="00101C84"/>
    <w:rsid w:val="00105F83"/>
    <w:rsid w:val="00114C6E"/>
    <w:rsid w:val="00120255"/>
    <w:rsid w:val="00120A6B"/>
    <w:rsid w:val="00121A4A"/>
    <w:rsid w:val="00123293"/>
    <w:rsid w:val="00134EFB"/>
    <w:rsid w:val="001453C3"/>
    <w:rsid w:val="00147D20"/>
    <w:rsid w:val="00150ACE"/>
    <w:rsid w:val="00152B01"/>
    <w:rsid w:val="00156208"/>
    <w:rsid w:val="001659AC"/>
    <w:rsid w:val="001768BA"/>
    <w:rsid w:val="00184A10"/>
    <w:rsid w:val="001879A3"/>
    <w:rsid w:val="00191646"/>
    <w:rsid w:val="001958BD"/>
    <w:rsid w:val="00196139"/>
    <w:rsid w:val="001A10A2"/>
    <w:rsid w:val="001A4BB5"/>
    <w:rsid w:val="001B097C"/>
    <w:rsid w:val="001B6AA1"/>
    <w:rsid w:val="001C69DD"/>
    <w:rsid w:val="001D0187"/>
    <w:rsid w:val="001D0624"/>
    <w:rsid w:val="001D1F70"/>
    <w:rsid w:val="001D390A"/>
    <w:rsid w:val="001E09B8"/>
    <w:rsid w:val="001E3800"/>
    <w:rsid w:val="001E5F24"/>
    <w:rsid w:val="001E6079"/>
    <w:rsid w:val="001F0049"/>
    <w:rsid w:val="00203CA4"/>
    <w:rsid w:val="00203EFB"/>
    <w:rsid w:val="0020415E"/>
    <w:rsid w:val="0020526D"/>
    <w:rsid w:val="00211C37"/>
    <w:rsid w:val="00212FFB"/>
    <w:rsid w:val="002143C2"/>
    <w:rsid w:val="00214B46"/>
    <w:rsid w:val="0022313E"/>
    <w:rsid w:val="00231173"/>
    <w:rsid w:val="00244608"/>
    <w:rsid w:val="00251697"/>
    <w:rsid w:val="00262A5D"/>
    <w:rsid w:val="00263819"/>
    <w:rsid w:val="00266495"/>
    <w:rsid w:val="00267642"/>
    <w:rsid w:val="0027096E"/>
    <w:rsid w:val="002747D9"/>
    <w:rsid w:val="00282312"/>
    <w:rsid w:val="002851B1"/>
    <w:rsid w:val="00287147"/>
    <w:rsid w:val="002A430B"/>
    <w:rsid w:val="002A6821"/>
    <w:rsid w:val="002C1E4A"/>
    <w:rsid w:val="002C35EF"/>
    <w:rsid w:val="002D1420"/>
    <w:rsid w:val="002D3E8C"/>
    <w:rsid w:val="002E3BAF"/>
    <w:rsid w:val="002F0F19"/>
    <w:rsid w:val="002F5259"/>
    <w:rsid w:val="002F5A43"/>
    <w:rsid w:val="002F655C"/>
    <w:rsid w:val="002F7140"/>
    <w:rsid w:val="00302E5C"/>
    <w:rsid w:val="00304009"/>
    <w:rsid w:val="00315646"/>
    <w:rsid w:val="00323FC9"/>
    <w:rsid w:val="003254F9"/>
    <w:rsid w:val="00325EE2"/>
    <w:rsid w:val="00334946"/>
    <w:rsid w:val="00336364"/>
    <w:rsid w:val="00336A1D"/>
    <w:rsid w:val="00357441"/>
    <w:rsid w:val="00383C29"/>
    <w:rsid w:val="00397B0B"/>
    <w:rsid w:val="003A03A1"/>
    <w:rsid w:val="003A33F2"/>
    <w:rsid w:val="003A4615"/>
    <w:rsid w:val="003A522C"/>
    <w:rsid w:val="003A6AB6"/>
    <w:rsid w:val="003B76F0"/>
    <w:rsid w:val="003C3199"/>
    <w:rsid w:val="003D4C08"/>
    <w:rsid w:val="0040162C"/>
    <w:rsid w:val="004144E2"/>
    <w:rsid w:val="00414B36"/>
    <w:rsid w:val="004153AF"/>
    <w:rsid w:val="00417779"/>
    <w:rsid w:val="00421E98"/>
    <w:rsid w:val="004273F4"/>
    <w:rsid w:val="004459DA"/>
    <w:rsid w:val="0047041E"/>
    <w:rsid w:val="00474A38"/>
    <w:rsid w:val="004762B0"/>
    <w:rsid w:val="00481DB2"/>
    <w:rsid w:val="00493E51"/>
    <w:rsid w:val="004B3AEF"/>
    <w:rsid w:val="004C27E2"/>
    <w:rsid w:val="004D0D4C"/>
    <w:rsid w:val="004D3719"/>
    <w:rsid w:val="004E3907"/>
    <w:rsid w:val="004E7AC1"/>
    <w:rsid w:val="004F094A"/>
    <w:rsid w:val="005154B5"/>
    <w:rsid w:val="00517BD9"/>
    <w:rsid w:val="00530479"/>
    <w:rsid w:val="00533ABB"/>
    <w:rsid w:val="00537A41"/>
    <w:rsid w:val="00543252"/>
    <w:rsid w:val="005444F4"/>
    <w:rsid w:val="005477E5"/>
    <w:rsid w:val="005534C1"/>
    <w:rsid w:val="005547B9"/>
    <w:rsid w:val="00556416"/>
    <w:rsid w:val="00556C52"/>
    <w:rsid w:val="00566621"/>
    <w:rsid w:val="00575C11"/>
    <w:rsid w:val="00580B23"/>
    <w:rsid w:val="0058747F"/>
    <w:rsid w:val="0059285E"/>
    <w:rsid w:val="00593313"/>
    <w:rsid w:val="00596C37"/>
    <w:rsid w:val="005A1A82"/>
    <w:rsid w:val="005A6CED"/>
    <w:rsid w:val="005A7983"/>
    <w:rsid w:val="005B7031"/>
    <w:rsid w:val="005C5303"/>
    <w:rsid w:val="005D1174"/>
    <w:rsid w:val="005D1463"/>
    <w:rsid w:val="005D46D8"/>
    <w:rsid w:val="005D5BBC"/>
    <w:rsid w:val="005E3AA1"/>
    <w:rsid w:val="005E53FF"/>
    <w:rsid w:val="005F33C9"/>
    <w:rsid w:val="005F5509"/>
    <w:rsid w:val="0060260D"/>
    <w:rsid w:val="00610C4B"/>
    <w:rsid w:val="00614494"/>
    <w:rsid w:val="00626817"/>
    <w:rsid w:val="006313A0"/>
    <w:rsid w:val="00637988"/>
    <w:rsid w:val="00644471"/>
    <w:rsid w:val="00651022"/>
    <w:rsid w:val="0066678F"/>
    <w:rsid w:val="00672E8F"/>
    <w:rsid w:val="006756A3"/>
    <w:rsid w:val="0067762C"/>
    <w:rsid w:val="0068253C"/>
    <w:rsid w:val="00683296"/>
    <w:rsid w:val="0068381B"/>
    <w:rsid w:val="00683820"/>
    <w:rsid w:val="006849A8"/>
    <w:rsid w:val="006901D7"/>
    <w:rsid w:val="006A0637"/>
    <w:rsid w:val="006A238C"/>
    <w:rsid w:val="006A46F6"/>
    <w:rsid w:val="006B0986"/>
    <w:rsid w:val="006D735C"/>
    <w:rsid w:val="006E32A3"/>
    <w:rsid w:val="006E775D"/>
    <w:rsid w:val="0070039E"/>
    <w:rsid w:val="007035CD"/>
    <w:rsid w:val="00705A09"/>
    <w:rsid w:val="00707A44"/>
    <w:rsid w:val="007117C8"/>
    <w:rsid w:val="00717918"/>
    <w:rsid w:val="00721588"/>
    <w:rsid w:val="007229ED"/>
    <w:rsid w:val="0072337A"/>
    <w:rsid w:val="007304BD"/>
    <w:rsid w:val="00731A44"/>
    <w:rsid w:val="00732F70"/>
    <w:rsid w:val="00741FAB"/>
    <w:rsid w:val="0074389B"/>
    <w:rsid w:val="00770E81"/>
    <w:rsid w:val="00772F4F"/>
    <w:rsid w:val="00774268"/>
    <w:rsid w:val="0077775D"/>
    <w:rsid w:val="00787A50"/>
    <w:rsid w:val="00795760"/>
    <w:rsid w:val="007A4BF5"/>
    <w:rsid w:val="007A6141"/>
    <w:rsid w:val="007A6CCC"/>
    <w:rsid w:val="007A76FF"/>
    <w:rsid w:val="007A7B59"/>
    <w:rsid w:val="007A7CB3"/>
    <w:rsid w:val="007B264A"/>
    <w:rsid w:val="007B2EDF"/>
    <w:rsid w:val="007C0946"/>
    <w:rsid w:val="007C2D80"/>
    <w:rsid w:val="007E2B14"/>
    <w:rsid w:val="007F17CC"/>
    <w:rsid w:val="007F4B8D"/>
    <w:rsid w:val="00820C97"/>
    <w:rsid w:val="008478CF"/>
    <w:rsid w:val="00850A8B"/>
    <w:rsid w:val="00853851"/>
    <w:rsid w:val="008562F2"/>
    <w:rsid w:val="0086324B"/>
    <w:rsid w:val="008750B5"/>
    <w:rsid w:val="0088021E"/>
    <w:rsid w:val="008874B0"/>
    <w:rsid w:val="00887EC8"/>
    <w:rsid w:val="00894610"/>
    <w:rsid w:val="00895E95"/>
    <w:rsid w:val="008A5100"/>
    <w:rsid w:val="008A6988"/>
    <w:rsid w:val="008B577C"/>
    <w:rsid w:val="008D3F3F"/>
    <w:rsid w:val="008D45A5"/>
    <w:rsid w:val="008D5B8C"/>
    <w:rsid w:val="00923737"/>
    <w:rsid w:val="00923C66"/>
    <w:rsid w:val="0092602F"/>
    <w:rsid w:val="00933ED8"/>
    <w:rsid w:val="009355F7"/>
    <w:rsid w:val="00940319"/>
    <w:rsid w:val="00950A60"/>
    <w:rsid w:val="0095362B"/>
    <w:rsid w:val="00955E63"/>
    <w:rsid w:val="00964C9E"/>
    <w:rsid w:val="0097142D"/>
    <w:rsid w:val="009871D3"/>
    <w:rsid w:val="009900B6"/>
    <w:rsid w:val="00992616"/>
    <w:rsid w:val="00992641"/>
    <w:rsid w:val="009943A4"/>
    <w:rsid w:val="009A3514"/>
    <w:rsid w:val="009B4408"/>
    <w:rsid w:val="009D254B"/>
    <w:rsid w:val="009D6006"/>
    <w:rsid w:val="009E5144"/>
    <w:rsid w:val="009F4D28"/>
    <w:rsid w:val="00A06031"/>
    <w:rsid w:val="00A15A6F"/>
    <w:rsid w:val="00A17BA5"/>
    <w:rsid w:val="00A245D0"/>
    <w:rsid w:val="00A26E08"/>
    <w:rsid w:val="00A44935"/>
    <w:rsid w:val="00A5064E"/>
    <w:rsid w:val="00A6381F"/>
    <w:rsid w:val="00A668DB"/>
    <w:rsid w:val="00A755BD"/>
    <w:rsid w:val="00A75648"/>
    <w:rsid w:val="00A77D80"/>
    <w:rsid w:val="00A80085"/>
    <w:rsid w:val="00A80C12"/>
    <w:rsid w:val="00A877F4"/>
    <w:rsid w:val="00A9104B"/>
    <w:rsid w:val="00AC1D76"/>
    <w:rsid w:val="00AC64BC"/>
    <w:rsid w:val="00AD5980"/>
    <w:rsid w:val="00AE2219"/>
    <w:rsid w:val="00AE2EBC"/>
    <w:rsid w:val="00AF1251"/>
    <w:rsid w:val="00AF3094"/>
    <w:rsid w:val="00AF69FE"/>
    <w:rsid w:val="00B02E4A"/>
    <w:rsid w:val="00B06CAC"/>
    <w:rsid w:val="00B118D4"/>
    <w:rsid w:val="00B11E90"/>
    <w:rsid w:val="00B172ED"/>
    <w:rsid w:val="00B231D1"/>
    <w:rsid w:val="00B47219"/>
    <w:rsid w:val="00B54406"/>
    <w:rsid w:val="00B55900"/>
    <w:rsid w:val="00B55B95"/>
    <w:rsid w:val="00B67EC9"/>
    <w:rsid w:val="00B70876"/>
    <w:rsid w:val="00B755EB"/>
    <w:rsid w:val="00B844B6"/>
    <w:rsid w:val="00B84D69"/>
    <w:rsid w:val="00B9677F"/>
    <w:rsid w:val="00BA17CB"/>
    <w:rsid w:val="00BA4999"/>
    <w:rsid w:val="00BB06E9"/>
    <w:rsid w:val="00BB46EA"/>
    <w:rsid w:val="00BB6632"/>
    <w:rsid w:val="00BC6A3D"/>
    <w:rsid w:val="00BC6E81"/>
    <w:rsid w:val="00BC7A19"/>
    <w:rsid w:val="00BD1970"/>
    <w:rsid w:val="00BD4AB9"/>
    <w:rsid w:val="00BF2625"/>
    <w:rsid w:val="00C02332"/>
    <w:rsid w:val="00C06140"/>
    <w:rsid w:val="00C07120"/>
    <w:rsid w:val="00C14B4C"/>
    <w:rsid w:val="00C16990"/>
    <w:rsid w:val="00C23317"/>
    <w:rsid w:val="00C25DF6"/>
    <w:rsid w:val="00C274BD"/>
    <w:rsid w:val="00C31396"/>
    <w:rsid w:val="00C41ADD"/>
    <w:rsid w:val="00C44186"/>
    <w:rsid w:val="00C5006F"/>
    <w:rsid w:val="00C50612"/>
    <w:rsid w:val="00C61ED2"/>
    <w:rsid w:val="00C70874"/>
    <w:rsid w:val="00C81152"/>
    <w:rsid w:val="00C9296E"/>
    <w:rsid w:val="00C9473F"/>
    <w:rsid w:val="00CB15B9"/>
    <w:rsid w:val="00CB6421"/>
    <w:rsid w:val="00CC5568"/>
    <w:rsid w:val="00CD70C0"/>
    <w:rsid w:val="00CE0A78"/>
    <w:rsid w:val="00CE6820"/>
    <w:rsid w:val="00CF2F50"/>
    <w:rsid w:val="00CF5F74"/>
    <w:rsid w:val="00D026CE"/>
    <w:rsid w:val="00D17692"/>
    <w:rsid w:val="00D229C9"/>
    <w:rsid w:val="00D256B0"/>
    <w:rsid w:val="00D302BC"/>
    <w:rsid w:val="00D53987"/>
    <w:rsid w:val="00D564BE"/>
    <w:rsid w:val="00D63563"/>
    <w:rsid w:val="00D706E9"/>
    <w:rsid w:val="00DA337A"/>
    <w:rsid w:val="00DB343B"/>
    <w:rsid w:val="00DB4B6E"/>
    <w:rsid w:val="00DB6CEF"/>
    <w:rsid w:val="00DD3478"/>
    <w:rsid w:val="00DD4E06"/>
    <w:rsid w:val="00DE658E"/>
    <w:rsid w:val="00DF435E"/>
    <w:rsid w:val="00E11D52"/>
    <w:rsid w:val="00E14F19"/>
    <w:rsid w:val="00E1521A"/>
    <w:rsid w:val="00E30E6D"/>
    <w:rsid w:val="00E314C7"/>
    <w:rsid w:val="00E33761"/>
    <w:rsid w:val="00E52617"/>
    <w:rsid w:val="00E52AA8"/>
    <w:rsid w:val="00E6096F"/>
    <w:rsid w:val="00E62BCD"/>
    <w:rsid w:val="00E65595"/>
    <w:rsid w:val="00E70DFB"/>
    <w:rsid w:val="00E74B68"/>
    <w:rsid w:val="00E90931"/>
    <w:rsid w:val="00E976F7"/>
    <w:rsid w:val="00EA0E07"/>
    <w:rsid w:val="00EA6750"/>
    <w:rsid w:val="00EB34F4"/>
    <w:rsid w:val="00EC17B6"/>
    <w:rsid w:val="00EC45E0"/>
    <w:rsid w:val="00EC5122"/>
    <w:rsid w:val="00EC5256"/>
    <w:rsid w:val="00ED1AD7"/>
    <w:rsid w:val="00ED3B35"/>
    <w:rsid w:val="00EE593E"/>
    <w:rsid w:val="00EF4608"/>
    <w:rsid w:val="00F217B6"/>
    <w:rsid w:val="00F26EC3"/>
    <w:rsid w:val="00F34190"/>
    <w:rsid w:val="00F41DCF"/>
    <w:rsid w:val="00F532EB"/>
    <w:rsid w:val="00F54A25"/>
    <w:rsid w:val="00F55CE4"/>
    <w:rsid w:val="00F72113"/>
    <w:rsid w:val="00F73873"/>
    <w:rsid w:val="00F7603A"/>
    <w:rsid w:val="00F7764E"/>
    <w:rsid w:val="00F77D36"/>
    <w:rsid w:val="00F84629"/>
    <w:rsid w:val="00F8789A"/>
    <w:rsid w:val="00F92A74"/>
    <w:rsid w:val="00FA0228"/>
    <w:rsid w:val="00FB2FBC"/>
    <w:rsid w:val="00FC0D7C"/>
    <w:rsid w:val="00FD08F2"/>
    <w:rsid w:val="00FD0A31"/>
    <w:rsid w:val="00FF1233"/>
    <w:rsid w:val="00FF1595"/>
    <w:rsid w:val="00FF3CD7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40A715A6"/>
  <w15:chartTrackingRefBased/>
  <w15:docId w15:val="{AA721DEB-0269-4B03-ABFF-EB99BFEA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873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Chap. Head"/>
    <w:basedOn w:val="Normal"/>
    <w:qFormat/>
    <w:rsid w:val="00F73873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qFormat/>
    <w:rsid w:val="00F73873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qFormat/>
    <w:rsid w:val="00F73873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F73873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F73873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F73873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F7387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F73873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F73873"/>
    <w:pPr>
      <w:keepLines/>
      <w:jc w:val="center"/>
    </w:pPr>
  </w:style>
  <w:style w:type="paragraph" w:customStyle="1" w:styleId="C3-CtrSp12">
    <w:name w:val="C3-Ctr Sp&amp;1/2"/>
    <w:basedOn w:val="Normal"/>
    <w:rsid w:val="00F73873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F73873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F73873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rsid w:val="00F73873"/>
  </w:style>
  <w:style w:type="paragraph" w:styleId="FootnoteText">
    <w:name w:val="footnote text"/>
    <w:aliases w:val="F1"/>
    <w:semiHidden/>
    <w:rsid w:val="00F73873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rsid w:val="00F73873"/>
    <w:rPr>
      <w:sz w:val="20"/>
    </w:rPr>
  </w:style>
  <w:style w:type="paragraph" w:customStyle="1" w:styleId="L1-FlLSp12">
    <w:name w:val="L1-FlL Sp&amp;1/2"/>
    <w:basedOn w:val="Normal"/>
    <w:rsid w:val="00F73873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F73873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F73873"/>
    <w:pPr>
      <w:numPr>
        <w:numId w:val="18"/>
      </w:numPr>
      <w:spacing w:after="240"/>
    </w:pPr>
  </w:style>
  <w:style w:type="paragraph" w:customStyle="1" w:styleId="N2-2ndBullet">
    <w:name w:val="N2-2nd Bullet"/>
    <w:basedOn w:val="Normal"/>
    <w:link w:val="N2-2ndBulletChar"/>
    <w:qFormat/>
    <w:rsid w:val="00F73873"/>
    <w:pPr>
      <w:numPr>
        <w:numId w:val="19"/>
      </w:numPr>
      <w:spacing w:after="240"/>
    </w:pPr>
  </w:style>
  <w:style w:type="paragraph" w:customStyle="1" w:styleId="N3-3rdBullet">
    <w:name w:val="N3-3rd Bullet"/>
    <w:basedOn w:val="Normal"/>
    <w:rsid w:val="00F73873"/>
    <w:pPr>
      <w:numPr>
        <w:numId w:val="20"/>
      </w:numPr>
      <w:spacing w:after="240"/>
    </w:pPr>
  </w:style>
  <w:style w:type="paragraph" w:customStyle="1" w:styleId="N4-4thBullet">
    <w:name w:val="N4-4th Bullet"/>
    <w:basedOn w:val="Normal"/>
    <w:rsid w:val="00F73873"/>
    <w:pPr>
      <w:numPr>
        <w:numId w:val="21"/>
      </w:numPr>
      <w:spacing w:after="240"/>
    </w:pPr>
  </w:style>
  <w:style w:type="paragraph" w:customStyle="1" w:styleId="N5-5thBullet">
    <w:name w:val="N5-5th Bullet"/>
    <w:basedOn w:val="Normal"/>
    <w:rsid w:val="00F73873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F73873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F73873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F73873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F73873"/>
    <w:pPr>
      <w:spacing w:line="360" w:lineRule="atLeast"/>
      <w:ind w:firstLine="1152"/>
    </w:pPr>
  </w:style>
  <w:style w:type="paragraph" w:customStyle="1" w:styleId="Q1-BestFinQ">
    <w:name w:val="Q1-Best/Fin Q"/>
    <w:rsid w:val="00F73873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F73873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F73873"/>
  </w:style>
  <w:style w:type="paragraph" w:customStyle="1" w:styleId="SP-SglSpPara">
    <w:name w:val="SP-Sgl Sp Para"/>
    <w:basedOn w:val="Normal"/>
    <w:rsid w:val="00F73873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F73873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F73873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F73873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F73873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F73873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F73873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F73873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F73873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F73873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F73873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F73873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F73873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F73873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F73873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F73873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F73873"/>
    <w:pPr>
      <w:numPr>
        <w:numId w:val="22"/>
      </w:numPr>
    </w:pPr>
  </w:style>
  <w:style w:type="character" w:styleId="PageNumber">
    <w:name w:val="page number"/>
    <w:basedOn w:val="DefaultParagraphFont"/>
    <w:rsid w:val="00F73873"/>
  </w:style>
  <w:style w:type="paragraph" w:customStyle="1" w:styleId="R0-FLLftSglBoldItalic">
    <w:name w:val="R0-FL Lft Sgl Bold Italic"/>
    <w:rsid w:val="00F73873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F73873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F73873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F73873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F73873"/>
    <w:pPr>
      <w:keepNext/>
      <w:spacing w:line="240" w:lineRule="atLeast"/>
      <w:jc w:val="center"/>
    </w:pPr>
    <w:rPr>
      <w:rFonts w:ascii="Franklin Gothic Medium" w:hAnsi="Franklin Gothic Medium"/>
      <w:b/>
    </w:rPr>
  </w:style>
  <w:style w:type="paragraph" w:styleId="TOC6">
    <w:name w:val="toc 6"/>
    <w:semiHidden/>
    <w:rsid w:val="00F73873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F73873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F73873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F73873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F73873"/>
    <w:rPr>
      <w:rFonts w:ascii="Franklin Gothic Medium" w:hAnsi="Franklin Gothic Medium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873"/>
    <w:pPr>
      <w:spacing w:line="240" w:lineRule="auto"/>
    </w:pPr>
    <w:rPr>
      <w:rFonts w:ascii="Times New Roman" w:hAnsi="Times New Roman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73"/>
    <w:rPr>
      <w:rFonts w:cs="Tahoma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F73873"/>
    <w:rPr>
      <w:vertAlign w:val="superscript"/>
    </w:rPr>
  </w:style>
  <w:style w:type="table" w:styleId="TableGrid">
    <w:name w:val="Table Grid"/>
    <w:basedOn w:val="TableNormal"/>
    <w:uiPriority w:val="59"/>
    <w:rsid w:val="002E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2-2ndBulletChar">
    <w:name w:val="N2-2nd Bullet Char"/>
    <w:basedOn w:val="DefaultParagraphFont"/>
    <w:link w:val="N2-2ndBullet"/>
    <w:rsid w:val="002E3BAF"/>
    <w:rPr>
      <w:rFonts w:ascii="Garamond" w:hAnsi="Garamond"/>
      <w:sz w:val="24"/>
    </w:rPr>
  </w:style>
  <w:style w:type="paragraph" w:styleId="ListParagraph">
    <w:name w:val="List Paragraph"/>
    <w:basedOn w:val="Normal"/>
    <w:uiPriority w:val="34"/>
    <w:qFormat/>
    <w:rsid w:val="005C5303"/>
    <w:pPr>
      <w:ind w:left="720"/>
      <w:contextualSpacing/>
    </w:pPr>
  </w:style>
  <w:style w:type="paragraph" w:customStyle="1" w:styleId="B1-Bullet">
    <w:name w:val="B1-Bullet"/>
    <w:basedOn w:val="ListParagraph"/>
    <w:link w:val="B1-BulletChar"/>
    <w:qFormat/>
    <w:rsid w:val="005C5303"/>
    <w:pPr>
      <w:ind w:left="0"/>
    </w:pPr>
    <w:rPr>
      <w:rFonts w:asciiTheme="minorHAnsi" w:hAnsiTheme="minorHAnsi" w:cstheme="minorHAnsi"/>
      <w:color w:val="000000" w:themeColor="text1"/>
      <w:sz w:val="20"/>
      <w:shd w:val="clear" w:color="auto" w:fill="FFFFFF"/>
    </w:rPr>
  </w:style>
  <w:style w:type="character" w:customStyle="1" w:styleId="B1-BulletChar">
    <w:name w:val="B1-Bullet Char"/>
    <w:basedOn w:val="DefaultParagraphFont"/>
    <w:link w:val="B1-Bullet"/>
    <w:rsid w:val="005C5303"/>
    <w:rPr>
      <w:rFonts w:asciiTheme="minorHAnsi" w:hAnsiTheme="minorHAnsi" w:cstheme="minorHAnsi"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251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69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697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697"/>
    <w:rPr>
      <w:rFonts w:ascii="Garamond" w:hAnsi="Garamond"/>
      <w:b/>
      <w:bCs/>
    </w:rPr>
  </w:style>
  <w:style w:type="paragraph" w:styleId="Revision">
    <w:name w:val="Revision"/>
    <w:hidden/>
    <w:uiPriority w:val="99"/>
    <w:semiHidden/>
    <w:rsid w:val="004459DA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F76EDF9F6D24AACF8F2BD22F9EA0E" ma:contentTypeVersion="13" ma:contentTypeDescription="Create a new document." ma:contentTypeScope="" ma:versionID="458f265c5c5313e66fe99b05ba3b5977">
  <xsd:schema xmlns:xsd="http://www.w3.org/2001/XMLSchema" xmlns:xs="http://www.w3.org/2001/XMLSchema" xmlns:p="http://schemas.microsoft.com/office/2006/metadata/properties" xmlns:ns3="3461f648-ca0e-499c-88b0-93f0aed29055" xmlns:ns4="b56edc98-6457-4ef3-a87d-90afba9c651d" targetNamespace="http://schemas.microsoft.com/office/2006/metadata/properties" ma:root="true" ma:fieldsID="3dfc0e6dea2a6d34ad4f2f78eea06083" ns3:_="" ns4:_="">
    <xsd:import namespace="3461f648-ca0e-499c-88b0-93f0aed29055"/>
    <xsd:import namespace="b56edc98-6457-4ef3-a87d-90afba9c6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1f648-ca0e-499c-88b0-93f0aed29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edc98-6457-4ef3-a87d-90afba9c6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DB8D5-2E4A-42B2-98DF-2C6877F7D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CF835-75F1-4D59-91B6-7994C534D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1f648-ca0e-499c-88b0-93f0aed29055"/>
    <ds:schemaRef ds:uri="b56edc98-6457-4ef3-a87d-90afba9c6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5323B5-A173-44D6-BFCF-E28F01188549}">
  <ds:schemaRefs>
    <ds:schemaRef ds:uri="http://schemas.microsoft.com/office/2006/documentManagement/types"/>
    <ds:schemaRef ds:uri="b56edc98-6457-4ef3-a87d-90afba9c651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3461f648-ca0e-499c-88b0-93f0aed2905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0423FD-7046-4D24-8E6B-84C55B0D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 Child Count and Educational Environments 618 Data Processes Protocol</vt:lpstr>
    </vt:vector>
  </TitlesOfParts>
  <Company>Westat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 Child Count and Educational Environments 618 Data Processes Protocol</dc:title>
  <dc:subject>LEA 618 Data Collection Processes Toolkit</dc:subject>
  <dc:creator>Susan Davis, Mary Watson, Fred Edora</dc:creator>
  <cp:keywords>LEA, IDEA, 618 data, Data Processes, Template, Child Count, EDFacts, Educational Environments</cp:keywords>
  <dc:description/>
  <cp:lastModifiedBy>Davis, Susan W.</cp:lastModifiedBy>
  <cp:revision>2</cp:revision>
  <cp:lastPrinted>2020-06-26T19:01:00Z</cp:lastPrinted>
  <dcterms:created xsi:type="dcterms:W3CDTF">2020-10-29T19:25:00Z</dcterms:created>
  <dcterms:modified xsi:type="dcterms:W3CDTF">2020-10-29T19:25:00Z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0x010100EB7F76EDF9F6D24AACF8F2BD22F9EA0E</vt:lpwstr>
  </property>
</Properties>
</file>