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40774" w14:textId="548F2C11" w:rsidR="00FA3124" w:rsidRPr="00F94906" w:rsidRDefault="00FA3124" w:rsidP="00F94906">
      <w:pPr>
        <w:pStyle w:val="Heading2"/>
      </w:pPr>
      <w:bookmarkStart w:id="0" w:name="_GoBack"/>
      <w:bookmarkEnd w:id="0"/>
      <w:r w:rsidRPr="00F94906">
        <w:t>Essential Elements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F94906" w14:paraId="206A8E93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00EBCB8" w14:textId="67C85EAF" w:rsidR="00E2128C" w:rsidRPr="00F94906" w:rsidRDefault="00F26028" w:rsidP="006120ED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sz w:val="20"/>
                <w:szCs w:val="20"/>
              </w:rPr>
              <w:t>Indicator Description</w:t>
            </w:r>
            <w:r w:rsidR="00692770" w:rsidRPr="00F94906">
              <w:rPr>
                <w:rFonts w:asciiTheme="minorHAnsi" w:hAnsiTheme="minorHAnsi"/>
                <w:sz w:val="20"/>
                <w:szCs w:val="20"/>
              </w:rPr>
              <w:t>:</w:t>
            </w:r>
            <w:r w:rsidR="00E2128C" w:rsidRPr="00F9490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2128C" w:rsidRPr="00F94906" w14:paraId="07407D11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54AB9" w14:textId="152E99A0" w:rsidR="006E3721" w:rsidRPr="00F94906" w:rsidRDefault="00642E3B" w:rsidP="00562E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Percent of children referred by Part C prior to age 3, who are found eligible for Part B, and who have an IEP developed and implemented by their third birthdays</w:t>
            </w:r>
            <w:r w:rsidR="00994341" w:rsidRPr="00F94906">
              <w:rPr>
                <w:rFonts w:cs="Arial"/>
                <w:color w:val="000000" w:themeColor="text1"/>
                <w:sz w:val="20"/>
              </w:rPr>
              <w:t>.</w:t>
            </w:r>
          </w:p>
        </w:tc>
      </w:tr>
      <w:tr w:rsidR="00F26028" w:rsidRPr="00F94906" w14:paraId="453C9199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500AB131" w14:textId="66CEFF73" w:rsidR="00F26028" w:rsidRPr="00F94906" w:rsidRDefault="00F26028" w:rsidP="006120ED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sz w:val="20"/>
                <w:szCs w:val="20"/>
              </w:rPr>
              <w:t>Measurement</w:t>
            </w:r>
            <w:r w:rsidR="00994341" w:rsidRPr="00F94906">
              <w:rPr>
                <w:rFonts w:asciiTheme="minorHAnsi" w:hAnsiTheme="minorHAnsi"/>
                <w:sz w:val="20"/>
                <w:szCs w:val="20"/>
              </w:rPr>
              <w:t>:</w:t>
            </w:r>
            <w:r w:rsidR="00692770" w:rsidRPr="00F94906">
              <w:rPr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063EE" w:rsidRPr="00F94906" w14:paraId="46E3181A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0D75EC4" w14:textId="6B8DDA9B" w:rsidR="00642E3B" w:rsidRPr="00F94906" w:rsidRDefault="00C64725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</w:t>
            </w:r>
            <w:r w:rsidR="00AD671F" w:rsidRPr="00F94906">
              <w:rPr>
                <w:rFonts w:cs="Arial"/>
                <w:color w:val="000000" w:themeColor="text1"/>
                <w:sz w:val="20"/>
              </w:rPr>
              <w:t>a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.</w:t>
            </w:r>
            <w:r w:rsidRPr="00F94906">
              <w:rPr>
                <w:rFonts w:cs="Arial"/>
                <w:color w:val="000000" w:themeColor="text1"/>
                <w:sz w:val="20"/>
              </w:rPr>
              <w:tab/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# of children who have been served in Part C and referred to Part B for Part B eligibility determination.</w:t>
            </w:r>
          </w:p>
          <w:p w14:paraId="4187DA98" w14:textId="7341991D" w:rsidR="00642E3B" w:rsidRPr="00F94906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12b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C64725" w:rsidRPr="00F94906">
              <w:rPr>
                <w:rFonts w:cs="Arial"/>
                <w:color w:val="000000" w:themeColor="text1"/>
                <w:sz w:val="20"/>
              </w:rPr>
              <w:tab/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# of those referred determined to be NOT eligible and whose eligibility was determined prior to their third birthdays.</w:t>
            </w:r>
          </w:p>
          <w:p w14:paraId="26E110C9" w14:textId="567F24C4" w:rsidR="00642E3B" w:rsidRPr="00F94906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12c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C64725" w:rsidRPr="00F94906">
              <w:rPr>
                <w:rFonts w:cs="Arial"/>
                <w:color w:val="000000" w:themeColor="text1"/>
                <w:sz w:val="20"/>
              </w:rPr>
              <w:tab/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# of those found eligible who have an IEP developed and implemented by their third birthdays.</w:t>
            </w:r>
          </w:p>
          <w:p w14:paraId="5A95F3C0" w14:textId="575E09A5" w:rsidR="00642E3B" w:rsidRPr="00F94906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12d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C64725" w:rsidRPr="00F94906">
              <w:rPr>
                <w:rFonts w:cs="Arial"/>
                <w:color w:val="000000" w:themeColor="text1"/>
                <w:sz w:val="20"/>
              </w:rPr>
              <w:tab/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# of children for whom parent refusal to provide consent caused delays in evaluation or initial</w:t>
            </w:r>
            <w:r w:rsidR="00994341" w:rsidRPr="00F94906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services or to whom exceptions under 34 CFR §300.301(d) applied.</w:t>
            </w:r>
          </w:p>
          <w:p w14:paraId="7300AA7C" w14:textId="0BC413D9" w:rsidR="00642E3B" w:rsidRPr="00F94906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12e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C64725" w:rsidRPr="00F94906">
              <w:rPr>
                <w:rFonts w:cs="Arial"/>
                <w:color w:val="000000" w:themeColor="text1"/>
                <w:sz w:val="20"/>
              </w:rPr>
              <w:tab/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# of children determined to be eligible for early intervention services under Part C less than 90</w:t>
            </w:r>
            <w:r w:rsidR="00994341" w:rsidRPr="00F94906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days before their third birthdays.</w:t>
            </w:r>
          </w:p>
          <w:p w14:paraId="6FCAFF47" w14:textId="4ECC4EB2" w:rsidR="006F0FCE" w:rsidRPr="00F94906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12f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C64725" w:rsidRPr="00F94906">
              <w:rPr>
                <w:rFonts w:cs="Arial"/>
                <w:color w:val="000000" w:themeColor="text1"/>
                <w:sz w:val="20"/>
              </w:rPr>
              <w:tab/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># of children whose parents chose to continue early intervention services beyond the child’s third birthday through a state’s policy under 34 CFR §303.211 or a similar state option</w:t>
            </w:r>
            <w:r w:rsidR="00780F54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1E7A50" w:rsidRPr="00F94906">
              <w:rPr>
                <w:rStyle w:val="FootnoteReference"/>
                <w:rFonts w:cs="Arial"/>
                <w:color w:val="000000" w:themeColor="text1"/>
                <w:sz w:val="20"/>
              </w:rPr>
              <w:footnoteReference w:id="3"/>
            </w:r>
          </w:p>
          <w:p w14:paraId="4F54E894" w14:textId="3BAD8295" w:rsidR="00642E3B" w:rsidRPr="00F94906" w:rsidRDefault="00642E3B" w:rsidP="00C6472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 xml:space="preserve">Account for children included in (a), but not included in b, c, d, 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 xml:space="preserve">e, </w:t>
            </w:r>
            <w:r w:rsidRPr="00F94906">
              <w:rPr>
                <w:rFonts w:cs="Arial"/>
                <w:color w:val="000000" w:themeColor="text1"/>
                <w:sz w:val="20"/>
              </w:rPr>
              <w:t xml:space="preserve">or 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>f</w:t>
            </w:r>
            <w:r w:rsidRPr="00F94906">
              <w:rPr>
                <w:rFonts w:cs="Arial"/>
                <w:color w:val="000000" w:themeColor="text1"/>
                <w:sz w:val="20"/>
              </w:rPr>
              <w:t>. Indicate the range of days beyond the third birthday when eligibility was determined and the IEP developed, and the reasons for the delays.</w:t>
            </w:r>
          </w:p>
          <w:p w14:paraId="07C5B5FB" w14:textId="0EF3D757" w:rsidR="00642E3B" w:rsidRPr="00F94906" w:rsidRDefault="00642E3B" w:rsidP="00C6472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 xml:space="preserve">Percent = [(c) divided by (a - b </w:t>
            </w:r>
            <w:r w:rsidR="00A24382" w:rsidRPr="00F94906">
              <w:rPr>
                <w:rFonts w:cs="Arial"/>
                <w:color w:val="000000" w:themeColor="text1"/>
                <w:sz w:val="20"/>
              </w:rPr>
              <w:t>-</w:t>
            </w:r>
            <w:r w:rsidRPr="00F94906">
              <w:rPr>
                <w:rFonts w:cs="Arial"/>
                <w:color w:val="000000" w:themeColor="text1"/>
                <w:sz w:val="20"/>
              </w:rPr>
              <w:t xml:space="preserve"> d</w:t>
            </w:r>
            <w:r w:rsidR="00A24382" w:rsidRPr="00F94906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>-</w:t>
            </w:r>
            <w:r w:rsidRPr="00F94906">
              <w:rPr>
                <w:rFonts w:cs="Arial"/>
                <w:color w:val="000000" w:themeColor="text1"/>
                <w:sz w:val="20"/>
              </w:rPr>
              <w:t xml:space="preserve"> e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 xml:space="preserve"> -</w:t>
            </w:r>
            <w:r w:rsidR="00A24382" w:rsidRPr="00F94906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>f</w:t>
            </w:r>
            <w:r w:rsidRPr="00F94906">
              <w:rPr>
                <w:rFonts w:cs="Arial"/>
                <w:color w:val="000000" w:themeColor="text1"/>
                <w:sz w:val="20"/>
              </w:rPr>
              <w:t>)] times 100.</w:t>
            </w:r>
            <w:r w:rsidR="00994341" w:rsidRPr="00F94906">
              <w:rPr>
                <w:rFonts w:cs="Arial"/>
                <w:color w:val="000000" w:themeColor="text1"/>
                <w:sz w:val="20"/>
              </w:rPr>
              <w:br/>
            </w:r>
            <w:r w:rsidRPr="00F94906">
              <w:rPr>
                <w:rFonts w:cs="Arial"/>
                <w:color w:val="000000" w:themeColor="text1"/>
                <w:sz w:val="20"/>
              </w:rPr>
              <w:t>Provide the actual numbers used in the ca</w:t>
            </w:r>
            <w:r w:rsidR="00994341" w:rsidRPr="00F94906">
              <w:rPr>
                <w:rFonts w:cs="Arial"/>
                <w:color w:val="000000" w:themeColor="text1"/>
                <w:sz w:val="20"/>
              </w:rPr>
              <w:t>l</w:t>
            </w:r>
            <w:r w:rsidRPr="00F94906">
              <w:rPr>
                <w:rFonts w:cs="Arial"/>
                <w:color w:val="000000" w:themeColor="text1"/>
                <w:sz w:val="20"/>
              </w:rPr>
              <w:t>culation.</w:t>
            </w:r>
          </w:p>
        </w:tc>
      </w:tr>
      <w:tr w:rsidR="001063EE" w:rsidRPr="00F94906" w14:paraId="27E5C22A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12086F3" w14:textId="497F9A1A" w:rsidR="001063EE" w:rsidRPr="00F94906" w:rsidRDefault="001063EE" w:rsidP="0002445F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sz w:val="20"/>
                <w:szCs w:val="20"/>
              </w:rPr>
              <w:t xml:space="preserve">Target Setting: </w:t>
            </w:r>
            <w:r w:rsidR="00ED4B14" w:rsidRPr="00F94906">
              <w:rPr>
                <w:rFonts w:asciiTheme="minorHAnsi" w:hAnsiTheme="minorHAnsi"/>
                <w:b w:val="0"/>
                <w:sz w:val="20"/>
                <w:szCs w:val="20"/>
              </w:rPr>
              <w:t>This is a compliance indicator.</w:t>
            </w:r>
            <w:r w:rsidR="004F7218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If the State reported less than 100% compliance for the previous reporting period (e.g., for the FFY 2016 SPP/APR, the data for FFY 2015), and the State did not identify any findings of noncompliance, provide an explanation of why the State did not identify any findings of noncompliance.</w:t>
            </w:r>
          </w:p>
        </w:tc>
      </w:tr>
      <w:tr w:rsidR="001063EE" w:rsidRPr="00F94906" w14:paraId="77791267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4568D57" w14:textId="53CA718B" w:rsidR="001063EE" w:rsidRPr="00F94906" w:rsidRDefault="00ED4B14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Target must be 100%.</w:t>
            </w:r>
          </w:p>
        </w:tc>
      </w:tr>
      <w:tr w:rsidR="001063EE" w:rsidRPr="00F94906" w14:paraId="481E9F08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AC3E46A" w14:textId="6A5E0C60" w:rsidR="001063EE" w:rsidRPr="00F94906" w:rsidRDefault="00785500" w:rsidP="001063EE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hyperlink r:id="rId9" w:anchor="program" w:history="1">
              <w:r w:rsidR="002D70B4" w:rsidRPr="00F94906">
                <w:rPr>
                  <w:rStyle w:val="Hyperlink"/>
                  <w:rFonts w:asciiTheme="minorHAnsi" w:hAnsiTheme="minorHAnsi"/>
                  <w:color w:val="FBD4B4" w:themeColor="accent6" w:themeTint="66"/>
                  <w:sz w:val="20"/>
                  <w:szCs w:val="20"/>
                </w:rPr>
                <w:t>GRADS</w:t>
              </w:r>
              <w:r w:rsidR="001063EE" w:rsidRPr="00F94906">
                <w:rPr>
                  <w:rStyle w:val="Hyperlink"/>
                  <w:rFonts w:asciiTheme="minorHAnsi" w:hAnsiTheme="minorHAnsi"/>
                  <w:color w:val="FBD4B4" w:themeColor="accent6" w:themeTint="66"/>
                  <w:sz w:val="20"/>
                  <w:szCs w:val="20"/>
                </w:rPr>
                <w:t>360°</w:t>
              </w:r>
            </w:hyperlink>
            <w:r w:rsidR="001063EE" w:rsidRPr="00F94906">
              <w:rPr>
                <w:rFonts w:asciiTheme="minorHAnsi" w:hAnsiTheme="minorHAnsi"/>
                <w:sz w:val="20"/>
                <w:szCs w:val="20"/>
              </w:rPr>
              <w:t xml:space="preserve"> Reporting Information: </w:t>
            </w:r>
            <w:r w:rsidR="001063EE" w:rsidRPr="00F94906">
              <w:rPr>
                <w:rFonts w:asciiTheme="minorHAnsi" w:hAnsiTheme="minorHAnsi"/>
                <w:b w:val="0"/>
                <w:sz w:val="20"/>
                <w:szCs w:val="20"/>
              </w:rPr>
              <w:t>Describe login information, location of manual</w:t>
            </w:r>
            <w:r w:rsidR="00994341" w:rsidRPr="00F94906">
              <w:rPr>
                <w:rFonts w:asciiTheme="minorHAnsi" w:hAnsiTheme="minorHAnsi"/>
                <w:b w:val="0"/>
                <w:sz w:val="20"/>
                <w:szCs w:val="20"/>
              </w:rPr>
              <w:t>,</w:t>
            </w:r>
            <w:r w:rsidR="00692770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etc. </w:t>
            </w:r>
          </w:p>
        </w:tc>
      </w:tr>
      <w:tr w:rsidR="001063EE" w:rsidRPr="00F94906" w14:paraId="63B88A31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7DEBB" w14:textId="6BC3833E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  <w:tr w:rsidR="001063EE" w:rsidRPr="00F94906" w14:paraId="736D2AE2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99A66F9" w14:textId="13CCB4E5" w:rsidR="001063EE" w:rsidRPr="00F94906" w:rsidRDefault="008D2A25" w:rsidP="001063EE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sz w:val="20"/>
                <w:szCs w:val="20"/>
              </w:rPr>
              <w:lastRenderedPageBreak/>
              <w:t>Data</w:t>
            </w:r>
            <w:r w:rsidR="001063EE" w:rsidRPr="00F94906">
              <w:rPr>
                <w:rFonts w:asciiTheme="minorHAnsi" w:hAnsiTheme="minorHAnsi"/>
                <w:sz w:val="20"/>
                <w:szCs w:val="20"/>
              </w:rPr>
              <w:t xml:space="preserve"> Stewards:</w:t>
            </w:r>
            <w:r w:rsidR="001063EE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Provide </w:t>
            </w:r>
            <w:r w:rsidR="00C754E8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titles and </w:t>
            </w:r>
            <w:r w:rsidR="001063EE" w:rsidRPr="00F94906">
              <w:rPr>
                <w:rFonts w:asciiTheme="minorHAnsi" w:hAnsiTheme="minorHAnsi"/>
                <w:b w:val="0"/>
                <w:sz w:val="20"/>
                <w:szCs w:val="20"/>
              </w:rPr>
              <w:t>names, contact information, department, and any notes on persons responsible for collections, validation, analysis, and submission. If there are multiple parties responsible or involved in the process, list them all.</w:t>
            </w:r>
          </w:p>
        </w:tc>
      </w:tr>
      <w:tr w:rsidR="001063EE" w:rsidRPr="00F94906" w14:paraId="7A9DD230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E13046E" w14:textId="0B2D429B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  <w:tr w:rsidR="001063EE" w:rsidRPr="00F94906" w14:paraId="6975ABBC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39580AA" w14:textId="0D99A347" w:rsidR="001063EE" w:rsidRPr="00F94906" w:rsidRDefault="001063EE" w:rsidP="00093AD0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sz w:val="20"/>
                <w:szCs w:val="20"/>
              </w:rPr>
              <w:t xml:space="preserve">Data Source Description: </w:t>
            </w:r>
            <w:r w:rsidR="00952784" w:rsidRPr="00F94906">
              <w:rPr>
                <w:rFonts w:asciiTheme="minorHAnsi" w:hAnsiTheme="minorHAnsi" w:cs="Arial"/>
                <w:b w:val="0"/>
                <w:sz w:val="20"/>
                <w:szCs w:val="20"/>
              </w:rPr>
              <w:t>P</w:t>
            </w:r>
            <w:r w:rsidR="00952784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rovide a short description of the database or data system </w:t>
            </w:r>
            <w:r w:rsidR="00AD671F" w:rsidRPr="00F94906">
              <w:rPr>
                <w:rFonts w:asciiTheme="minorHAnsi" w:hAnsiTheme="minorHAnsi"/>
                <w:b w:val="0"/>
                <w:sz w:val="20"/>
                <w:szCs w:val="20"/>
              </w:rPr>
              <w:t>your</w:t>
            </w:r>
            <w:r w:rsidR="00093AD0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state </w:t>
            </w:r>
            <w:r w:rsidR="00952784" w:rsidRPr="00F94906">
              <w:rPr>
                <w:rFonts w:asciiTheme="minorHAnsi" w:hAnsiTheme="minorHAnsi"/>
                <w:b w:val="0"/>
                <w:sz w:val="20"/>
                <w:szCs w:val="20"/>
              </w:rPr>
              <w:t>use</w:t>
            </w:r>
            <w:r w:rsidR="00093AD0" w:rsidRPr="00F94906">
              <w:rPr>
                <w:rFonts w:asciiTheme="minorHAnsi" w:hAnsiTheme="minorHAnsi"/>
                <w:b w:val="0"/>
                <w:sz w:val="20"/>
                <w:szCs w:val="20"/>
              </w:rPr>
              <w:t>s</w:t>
            </w:r>
            <w:r w:rsidR="00952784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to process data for this indicator.</w:t>
            </w:r>
            <w:r w:rsidR="00952784" w:rsidRPr="00F94906" w:rsidDel="00952784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642E3B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CE2756" w:rsidRPr="00F94906" w14:paraId="6293C22A" w14:textId="77777777" w:rsidTr="00F94906">
        <w:trPr>
          <w:cantSplit/>
          <w:trHeight w:val="20"/>
        </w:trPr>
        <w:tc>
          <w:tcPr>
            <w:tcW w:w="10070" w:type="dxa"/>
            <w:shd w:val="clear" w:color="auto" w:fill="9EBAE2"/>
          </w:tcPr>
          <w:p w14:paraId="3C4C9F9B" w14:textId="2FDD0273" w:rsidR="00CE2756" w:rsidRPr="00F94906" w:rsidRDefault="00CE2756" w:rsidP="00093AD0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Data to be taken from state monitoring or state data system. If data are from state monitoring, describe the method used to select LEAs for monitoring. If data are from a state database, include data for the entire reporting year.</w:t>
            </w:r>
          </w:p>
        </w:tc>
      </w:tr>
      <w:tr w:rsidR="001063EE" w:rsidRPr="00F94906" w14:paraId="5262972B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624A2B0E" w14:textId="0766B1C9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  <w:tr w:rsidR="001063EE" w:rsidRPr="00F94906" w14:paraId="3D502B6C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3090D4D" w14:textId="07480FDF" w:rsidR="001063EE" w:rsidRPr="00F94906" w:rsidRDefault="001063EE" w:rsidP="00093AD0">
            <w:pPr>
              <w:pStyle w:val="SL-FlLftSgl"/>
              <w:tabs>
                <w:tab w:val="left" w:pos="6570"/>
              </w:tabs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sz w:val="20"/>
                <w:szCs w:val="20"/>
              </w:rPr>
              <w:t>State Collection and Submission Schedule:</w:t>
            </w:r>
            <w:r w:rsidR="00994341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2B143A" w:rsidRPr="00F94906">
              <w:rPr>
                <w:rFonts w:asciiTheme="minorHAnsi" w:hAnsiTheme="minorHAnsi"/>
                <w:b w:val="0"/>
                <w:sz w:val="20"/>
                <w:szCs w:val="20"/>
              </w:rPr>
              <w:t>Provide a list of dates necessary for this data collection</w:t>
            </w:r>
            <w:r w:rsidR="00994341" w:rsidRPr="00F94906">
              <w:rPr>
                <w:rFonts w:asciiTheme="minorHAnsi" w:hAnsiTheme="minorHAnsi"/>
                <w:b w:val="0"/>
                <w:sz w:val="20"/>
                <w:szCs w:val="20"/>
              </w:rPr>
              <w:t>,</w:t>
            </w:r>
            <w:r w:rsidR="002B143A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including when the data collection period opens, when data are due from the local education agencies (LEAs), </w:t>
            </w:r>
            <w:r w:rsidR="004D4C86" w:rsidRPr="00F94906">
              <w:rPr>
                <w:rFonts w:asciiTheme="minorHAnsi" w:hAnsiTheme="minorHAnsi"/>
                <w:b w:val="0"/>
                <w:sz w:val="20"/>
                <w:szCs w:val="20"/>
              </w:rPr>
              <w:t>and</w:t>
            </w:r>
            <w:r w:rsidR="00AD671F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when assigned staff pull the data after the collection closes.</w:t>
            </w:r>
          </w:p>
        </w:tc>
      </w:tr>
      <w:tr w:rsidR="001063EE" w:rsidRPr="00F94906" w14:paraId="7E5E36FB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DD9249C" w14:textId="77777777" w:rsidR="001063EE" w:rsidRPr="00F94906" w:rsidRDefault="001063EE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7F7031DE" w14:textId="77777777" w:rsidR="00E2128C" w:rsidRPr="004976EC" w:rsidRDefault="00E2128C" w:rsidP="00E2128C"/>
    <w:p w14:paraId="0857706F" w14:textId="77777777" w:rsidR="00C64725" w:rsidRDefault="00C64725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0E360710" w14:textId="3B495BE7" w:rsidR="00FA3124" w:rsidRPr="00C64725" w:rsidRDefault="00FA3124" w:rsidP="00C64725">
      <w:pPr>
        <w:pStyle w:val="C1-CtrBoldHd"/>
        <w:spacing w:after="240"/>
        <w:rPr>
          <w:rFonts w:asciiTheme="minorHAnsi" w:hAnsiTheme="minorHAnsi"/>
          <w:color w:val="199387"/>
        </w:rPr>
      </w:pPr>
      <w:r w:rsidRPr="00C64725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F94906" w14:paraId="7583D2A6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49B9BC91" w14:textId="5D34F118" w:rsidR="00E2128C" w:rsidRPr="00F94906" w:rsidRDefault="00E2128C" w:rsidP="00CE2756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Collection:</w:t>
            </w:r>
            <w:r w:rsidR="00FC0779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C754E8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Provide detailed information about the origin and collection of the data</w:t>
            </w:r>
            <w:r w:rsidR="004D4C8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including titles of persons responsible</w:t>
            </w:r>
            <w:r w:rsidR="00C754E8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</w:p>
        </w:tc>
      </w:tr>
      <w:tr w:rsidR="00CE2756" w:rsidRPr="00F94906" w14:paraId="3B5D638B" w14:textId="77777777" w:rsidTr="00F94906">
        <w:trPr>
          <w:cantSplit/>
          <w:trHeight w:val="20"/>
        </w:trPr>
        <w:tc>
          <w:tcPr>
            <w:tcW w:w="10070" w:type="dxa"/>
            <w:shd w:val="clear" w:color="auto" w:fill="9EBAE2"/>
          </w:tcPr>
          <w:p w14:paraId="130B80EB" w14:textId="3E3C68DD" w:rsidR="00CE2756" w:rsidRPr="00F94906" w:rsidRDefault="00CE2756" w:rsidP="00FF0A4E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Describe the method </w:t>
            </w:r>
            <w:r w:rsidR="00FF0A4E"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the state </w:t>
            </w:r>
            <w:r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use</w:t>
            </w:r>
            <w:r w:rsidR="00FF0A4E"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</w:t>
            </w:r>
            <w:r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to collect these data, and if data are from the state’s monitoring, describe the procedure </w:t>
            </w:r>
            <w:r w:rsidR="00FF0A4E"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the state </w:t>
            </w:r>
            <w:r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use</w:t>
            </w:r>
            <w:r w:rsidR="00FF0A4E"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</w:t>
            </w:r>
            <w:r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to collect these data.</w:t>
            </w:r>
          </w:p>
        </w:tc>
      </w:tr>
      <w:tr w:rsidR="00E2128C" w:rsidRPr="00F94906" w14:paraId="6D0129CA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5DE6741B" w14:textId="77777777" w:rsidR="006E3721" w:rsidRPr="00F94906" w:rsidRDefault="006E372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E2128C" w:rsidRPr="00F94906" w14:paraId="6C9E2160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60AD1F7E" w14:textId="17475E61" w:rsidR="00E2128C" w:rsidRPr="00F94906" w:rsidRDefault="00E2128C" w:rsidP="00ED097D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Data Validation:</w:t>
            </w:r>
            <w:r w:rsidRPr="00F9490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E06C9A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the data c</w:t>
            </w:r>
            <w:r w:rsidR="004C11BC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leaning processes</w:t>
            </w:r>
            <w:r w:rsidR="00AD671F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any other processes your</w:t>
            </w:r>
            <w:r w:rsidR="00FF0A4E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state </w:t>
            </w:r>
            <w:r w:rsidR="002B143A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FF0A4E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2B143A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ensure high</w:t>
            </w:r>
            <w:r w:rsidR="004D08C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r w:rsidR="002B143A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quality data</w:t>
            </w:r>
            <w:r w:rsidR="004C11BC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E2128C" w:rsidRPr="00F94906" w14:paraId="2A9E4C90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97362B4" w14:textId="57A6ED5B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90D9B" w:rsidRPr="00F94906" w14:paraId="18F586DF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5EBFA7F" w14:textId="06B7F586" w:rsidR="00A90D9B" w:rsidRPr="00F94906" w:rsidRDefault="00A90D9B" w:rsidP="002B143A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Data Analysis</w:t>
            </w:r>
            <w:r w:rsidR="004D08C6" w:rsidRPr="00F949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B143A" w:rsidRPr="00F9490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="00380072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Describe the process for data analysis.</w:t>
            </w:r>
            <w:r w:rsidR="00011EBD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A90D9B" w:rsidRPr="00F94906" w14:paraId="2C8F6BFC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E43DD59" w14:textId="76AE6D1A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146E59" w:rsidRPr="00F94906" w14:paraId="325B5FAA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52E756C" w14:textId="31C30E5D" w:rsidR="00146E59" w:rsidRPr="00F94906" w:rsidRDefault="00A90D9B" w:rsidP="00AD671F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Response to OS</w:t>
            </w:r>
            <w:r w:rsidR="00076F4C" w:rsidRPr="00F949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D08C6" w:rsidRPr="00F949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 xml:space="preserve">Required Actions: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procedures for reviewing </w:t>
            </w:r>
            <w:r w:rsidR="004D08C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Office of Special Education Programs (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OSEP</w:t>
            </w:r>
            <w:r w:rsidR="004D08C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feedback</w:t>
            </w:r>
            <w:r w:rsidR="00A727FD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="00C63AD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Following the release of the OSEP determination, indicate who reviews OSEP feedback and </w:t>
            </w:r>
            <w:r w:rsidR="00AD671F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how assigned staff make the plan to address concerns and create a response.</w:t>
            </w:r>
          </w:p>
        </w:tc>
      </w:tr>
      <w:tr w:rsidR="00146E59" w:rsidRPr="00F94906" w14:paraId="0822DEAE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671D5C5" w14:textId="58288EBD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557626" w:rsidRPr="00F94906" w14:paraId="57FA2E6F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678AEEDB" w14:textId="0522D1BA" w:rsidR="00557626" w:rsidRPr="00F94906" w:rsidRDefault="00A35071" w:rsidP="00980DEF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Report on Correction of Identified Noncompliance: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Decribe</w:t>
            </w:r>
            <w:proofErr w:type="spellEnd"/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databases, sources, and persons responsible for conducting the verification of correction reported in the previous State Performance Plan Annual Performance Report (SPP/APR).</w:t>
            </w:r>
          </w:p>
        </w:tc>
      </w:tr>
      <w:tr w:rsidR="00557626" w:rsidRPr="00F94906" w14:paraId="0583B68F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A8AAFB7" w14:textId="76791FBA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E2128C" w:rsidRPr="00F94906" w14:paraId="7DE4623A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CC57348" w14:textId="7E3E5971" w:rsidR="00E2128C" w:rsidRPr="00F94906" w:rsidRDefault="00E2128C" w:rsidP="00980DEF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 xml:space="preserve">Internal Approval Process: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any internal approval processes (e.g.</w:t>
            </w:r>
            <w:r w:rsidR="00903CF5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who must sign off</w:t>
            </w:r>
            <w:r w:rsidR="004D08C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timelines).</w:t>
            </w:r>
            <w:r w:rsidRPr="00F94906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E2128C" w:rsidRPr="00F94906" w14:paraId="3A3D6CF5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D993971" w14:textId="2059F2A6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146E59" w:rsidRPr="00F94906" w14:paraId="7D003D99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6189C2BA" w14:textId="545E8F70" w:rsidR="00146E59" w:rsidRPr="00F94906" w:rsidRDefault="00D13676" w:rsidP="004C11BC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 xml:space="preserve">Submission: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process for </w:t>
            </w:r>
            <w:r w:rsidR="004C11BC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entering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data and analys</w:t>
            </w:r>
            <w:r w:rsidR="004C11BC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e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6B1BCF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nto </w:t>
            </w:r>
            <w:hyperlink r:id="rId10" w:anchor="program" w:history="1">
              <w:r w:rsidR="002D70B4" w:rsidRPr="00F94906">
                <w:rPr>
                  <w:rStyle w:val="Hyperlink"/>
                  <w:rFonts w:asciiTheme="minorHAnsi" w:hAnsiTheme="minorHAnsi" w:cstheme="minorHAnsi"/>
                  <w:b w:val="0"/>
                  <w:color w:val="FBD4B4" w:themeColor="accent6" w:themeTint="66"/>
                  <w:sz w:val="20"/>
                  <w:szCs w:val="20"/>
                </w:rPr>
                <w:t>GRADS</w:t>
              </w:r>
              <w:r w:rsidRPr="00F94906">
                <w:rPr>
                  <w:rStyle w:val="Hyperlink"/>
                  <w:rFonts w:asciiTheme="minorHAnsi" w:hAnsiTheme="minorHAnsi" w:cstheme="minorHAnsi"/>
                  <w:b w:val="0"/>
                  <w:color w:val="FBD4B4" w:themeColor="accent6" w:themeTint="66"/>
                  <w:sz w:val="20"/>
                  <w:szCs w:val="20"/>
                </w:rPr>
                <w:t>360</w:t>
              </w:r>
            </w:hyperlink>
            <w:r w:rsidR="00C64725" w:rsidRPr="00F94906">
              <w:rPr>
                <w:rStyle w:val="Hyperlink"/>
                <w:rFonts w:asciiTheme="minorHAnsi" w:hAnsiTheme="minorHAnsi" w:cstheme="minorHAnsi"/>
                <w:b w:val="0"/>
                <w:color w:val="FBD4B4" w:themeColor="accent6" w:themeTint="66"/>
                <w:sz w:val="20"/>
                <w:szCs w:val="20"/>
                <w:vertAlign w:val="superscript"/>
              </w:rPr>
              <w:t>o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="00A90D9B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CF7EF1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Include information about the person authorized to certify the final report.</w:t>
            </w:r>
          </w:p>
        </w:tc>
      </w:tr>
      <w:tr w:rsidR="00146E59" w:rsidRPr="00F94906" w14:paraId="1EB0B099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D48033B" w14:textId="03FFEE25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F26028" w:rsidRPr="00F94906" w14:paraId="1DCCC463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B739FF7" w14:textId="02635B0B" w:rsidR="00F26028" w:rsidRPr="00F94906" w:rsidRDefault="00F26028" w:rsidP="00FF0A4E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Clarification</w:t>
            </w:r>
            <w:r w:rsidR="004D08C6" w:rsidRPr="00F949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C11BC" w:rsidRPr="00F9490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="00850147" w:rsidRPr="00F949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5071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the process your state uses to prepare a response to OSEP’s request for clarification.</w:t>
            </w:r>
          </w:p>
        </w:tc>
      </w:tr>
      <w:tr w:rsidR="00F26028" w:rsidRPr="00F94906" w14:paraId="0FB89945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C75011D" w14:textId="4279C0A6" w:rsidR="00F26028" w:rsidRPr="00F94906" w:rsidRDefault="00F26028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E2128C" w:rsidRPr="00F94906" w14:paraId="248598D2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7DC967A" w14:textId="77777777" w:rsidR="00E2128C" w:rsidRPr="00F94906" w:rsidRDefault="00E2128C" w:rsidP="00054C09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Data Governance: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process for reviewing potential or actual future changes to the data collection and associated requirements. </w:t>
            </w:r>
            <w:r w:rsidR="00146E59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146E59" w:rsidRPr="00F94906" w14:paraId="3EA008C8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444633E" w14:textId="325F938D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146E59" w:rsidRPr="00F94906" w14:paraId="1CEA1D03" w14:textId="77777777" w:rsidTr="00F94906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C7DB088" w14:textId="24658CD4" w:rsidR="00146E59" w:rsidRPr="00F94906" w:rsidRDefault="002D70B4" w:rsidP="00FF0A4E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 xml:space="preserve">Public Reporting: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the process and format for publicly reporting the performance of each LEA against the target of the state’s SPP/APR data.</w:t>
            </w: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Note</w:t>
            </w:r>
            <w:r w:rsidR="00A35071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where your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F0A4E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state posts the </w:t>
            </w:r>
            <w:r w:rsidR="0002445F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state education agency (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SEA</w:t>
            </w:r>
            <w:r w:rsidR="0002445F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LEA SPP/APR data.</w:t>
            </w:r>
          </w:p>
        </w:tc>
      </w:tr>
      <w:tr w:rsidR="00E2128C" w:rsidRPr="00F94906" w14:paraId="125C6D1E" w14:textId="77777777" w:rsidTr="00C64725">
        <w:trPr>
          <w:cantSplit/>
          <w:trHeight w:val="20"/>
        </w:trPr>
        <w:tc>
          <w:tcPr>
            <w:tcW w:w="10070" w:type="dxa"/>
          </w:tcPr>
          <w:p w14:paraId="5C67BA21" w14:textId="07989903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14:paraId="76E81E05" w14:textId="063B1342" w:rsidR="00F30485" w:rsidRPr="00A35071" w:rsidRDefault="00F30485" w:rsidP="00373514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A35071" w:rsidSect="00F9490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548E7" w16cid:durableId="1D25AEDD"/>
  <w16cid:commentId w16cid:paraId="7AA69B6D" w16cid:durableId="1D25AF1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F9F7D" w14:textId="77777777" w:rsidR="00A1593B" w:rsidRDefault="00A1593B">
      <w:pPr>
        <w:spacing w:line="240" w:lineRule="auto"/>
      </w:pPr>
      <w:r>
        <w:separator/>
      </w:r>
    </w:p>
  </w:endnote>
  <w:endnote w:type="continuationSeparator" w:id="0">
    <w:p w14:paraId="0D0296AB" w14:textId="77777777" w:rsidR="00A1593B" w:rsidRDefault="00A15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B564E" w14:textId="16DCCC89" w:rsidR="00F94906" w:rsidRPr="00AD5B2A" w:rsidRDefault="00785500" w:rsidP="00F94906">
    <w:pPr>
      <w:pStyle w:val="Footer"/>
      <w:tabs>
        <w:tab w:val="right" w:pos="10080"/>
      </w:tabs>
      <w:ind w:right="360"/>
      <w:rPr>
        <w:rFonts w:cstheme="minorHAnsi"/>
        <w:b w:val="0"/>
        <w:color w:val="262626" w:themeColor="text1" w:themeTint="D9"/>
        <w:sz w:val="20"/>
        <w:szCs w:val="20"/>
      </w:rPr>
    </w:pPr>
    <w:hyperlink r:id="rId1" w:tooltip="IDEA Data Center website" w:history="1">
      <w:r w:rsidR="00F94906" w:rsidRPr="00AD5B2A">
        <w:rPr>
          <w:rFonts w:cstheme="minorHAnsi"/>
          <w:b w:val="0"/>
          <w:color w:val="262626" w:themeColor="text1" w:themeTint="D9"/>
          <w:sz w:val="20"/>
          <w:szCs w:val="20"/>
        </w:rPr>
        <w:t>www.ideadata.org</w:t>
      </w:r>
    </w:hyperlink>
    <w:r w:rsidR="00F94906" w:rsidRPr="00AD5B2A">
      <w:rPr>
        <w:rFonts w:cstheme="minorHAnsi"/>
        <w:b w:val="0"/>
        <w:color w:val="262626" w:themeColor="text1" w:themeTint="D9"/>
        <w:sz w:val="20"/>
        <w:szCs w:val="20"/>
      </w:rPr>
      <w:tab/>
    </w:r>
    <w:r w:rsidR="00F94906" w:rsidRPr="00AD5B2A">
      <w:rPr>
        <w:rFonts w:cstheme="minorHAnsi"/>
        <w:b w:val="0"/>
        <w:color w:val="262626" w:themeColor="text1" w:themeTint="D9"/>
        <w:sz w:val="20"/>
        <w:szCs w:val="20"/>
      </w:rPr>
      <w:fldChar w:fldCharType="begin"/>
    </w:r>
    <w:r w:rsidR="00F94906" w:rsidRPr="00AD5B2A">
      <w:rPr>
        <w:rFonts w:cstheme="minorHAnsi"/>
        <w:b w:val="0"/>
        <w:color w:val="262626" w:themeColor="text1" w:themeTint="D9"/>
        <w:sz w:val="20"/>
        <w:szCs w:val="20"/>
      </w:rPr>
      <w:instrText xml:space="preserve"> PAGE   \* MERGEFORMAT </w:instrText>
    </w:r>
    <w:r w:rsidR="00F94906" w:rsidRPr="00AD5B2A">
      <w:rPr>
        <w:rFonts w:cstheme="minorHAnsi"/>
        <w:b w:val="0"/>
        <w:color w:val="262626" w:themeColor="text1" w:themeTint="D9"/>
        <w:sz w:val="20"/>
        <w:szCs w:val="20"/>
      </w:rPr>
      <w:fldChar w:fldCharType="separate"/>
    </w:r>
    <w:r>
      <w:rPr>
        <w:rFonts w:cstheme="minorHAnsi"/>
        <w:b w:val="0"/>
        <w:noProof/>
        <w:color w:val="262626" w:themeColor="text1" w:themeTint="D9"/>
        <w:sz w:val="20"/>
        <w:szCs w:val="20"/>
      </w:rPr>
      <w:t>4</w:t>
    </w:r>
    <w:r w:rsidR="00F94906" w:rsidRPr="00AD5B2A">
      <w:rPr>
        <w:rFonts w:cstheme="minorHAnsi"/>
        <w:b w:val="0"/>
        <w:noProof/>
        <w:color w:val="262626" w:themeColor="text1" w:themeTint="D9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DBDE" w14:textId="6DB048E0" w:rsidR="00F94906" w:rsidRPr="00AD5B2A" w:rsidRDefault="00785500" w:rsidP="00F94906">
    <w:pPr>
      <w:pStyle w:val="Footer"/>
      <w:tabs>
        <w:tab w:val="right" w:pos="10080"/>
      </w:tabs>
      <w:ind w:right="360"/>
      <w:rPr>
        <w:rFonts w:cstheme="minorHAnsi"/>
        <w:b w:val="0"/>
        <w:color w:val="262626" w:themeColor="text1" w:themeTint="D9"/>
        <w:sz w:val="20"/>
        <w:szCs w:val="20"/>
      </w:rPr>
    </w:pPr>
    <w:hyperlink r:id="rId1" w:tooltip="IDEA Data Center website" w:history="1">
      <w:r w:rsidR="00F94906" w:rsidRPr="00AD5B2A">
        <w:rPr>
          <w:rFonts w:cstheme="minorHAnsi"/>
          <w:b w:val="0"/>
          <w:color w:val="262626" w:themeColor="text1" w:themeTint="D9"/>
          <w:sz w:val="20"/>
          <w:szCs w:val="20"/>
        </w:rPr>
        <w:t>www.ideadata.org</w:t>
      </w:r>
    </w:hyperlink>
    <w:r w:rsidR="00F94906" w:rsidRPr="00AD5B2A">
      <w:rPr>
        <w:rFonts w:cstheme="minorHAnsi"/>
        <w:b w:val="0"/>
        <w:color w:val="262626" w:themeColor="text1" w:themeTint="D9"/>
        <w:sz w:val="20"/>
        <w:szCs w:val="20"/>
      </w:rPr>
      <w:tab/>
    </w:r>
    <w:r w:rsidR="00F94906" w:rsidRPr="00AD5B2A">
      <w:rPr>
        <w:rFonts w:cstheme="minorHAnsi"/>
        <w:b w:val="0"/>
        <w:color w:val="262626" w:themeColor="text1" w:themeTint="D9"/>
        <w:sz w:val="20"/>
        <w:szCs w:val="20"/>
      </w:rPr>
      <w:fldChar w:fldCharType="begin"/>
    </w:r>
    <w:r w:rsidR="00F94906" w:rsidRPr="00AD5B2A">
      <w:rPr>
        <w:rFonts w:cstheme="minorHAnsi"/>
        <w:b w:val="0"/>
        <w:color w:val="262626" w:themeColor="text1" w:themeTint="D9"/>
        <w:sz w:val="20"/>
        <w:szCs w:val="20"/>
      </w:rPr>
      <w:instrText xml:space="preserve"> PAGE   \* MERGEFORMAT </w:instrText>
    </w:r>
    <w:r w:rsidR="00F94906" w:rsidRPr="00AD5B2A">
      <w:rPr>
        <w:rFonts w:cstheme="minorHAnsi"/>
        <w:b w:val="0"/>
        <w:color w:val="262626" w:themeColor="text1" w:themeTint="D9"/>
        <w:sz w:val="20"/>
        <w:szCs w:val="20"/>
      </w:rPr>
      <w:fldChar w:fldCharType="separate"/>
    </w:r>
    <w:r>
      <w:rPr>
        <w:rFonts w:cstheme="minorHAnsi"/>
        <w:b w:val="0"/>
        <w:noProof/>
        <w:color w:val="262626" w:themeColor="text1" w:themeTint="D9"/>
        <w:sz w:val="20"/>
        <w:szCs w:val="20"/>
      </w:rPr>
      <w:t>1</w:t>
    </w:r>
    <w:r w:rsidR="00F94906" w:rsidRPr="00AD5B2A">
      <w:rPr>
        <w:rFonts w:cstheme="minorHAnsi"/>
        <w:b w:val="0"/>
        <w:noProof/>
        <w:color w:val="262626" w:themeColor="text1" w:themeTint="D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33A15" w14:textId="77777777" w:rsidR="00A1593B" w:rsidRPr="001F1397" w:rsidRDefault="00A1593B" w:rsidP="003E2B1F">
      <w:pPr>
        <w:pStyle w:val="Footer"/>
        <w:pBdr>
          <w:bottom w:val="single" w:sz="4" w:space="1" w:color="auto"/>
        </w:pBdr>
      </w:pPr>
    </w:p>
  </w:footnote>
  <w:footnote w:type="continuationSeparator" w:id="0">
    <w:p w14:paraId="61F647DD" w14:textId="77777777" w:rsidR="00A1593B" w:rsidRPr="006328B1" w:rsidRDefault="00A1593B" w:rsidP="008E637E">
      <w:pPr>
        <w:pStyle w:val="Footer"/>
      </w:pPr>
    </w:p>
  </w:footnote>
  <w:footnote w:type="continuationNotice" w:id="1">
    <w:p w14:paraId="0399D196" w14:textId="77777777" w:rsidR="00A1593B" w:rsidRPr="006328B1" w:rsidRDefault="00A1593B" w:rsidP="008E637E">
      <w:pPr>
        <w:pStyle w:val="Footer"/>
      </w:pPr>
    </w:p>
  </w:footnote>
  <w:footnote w:id="2">
    <w:p w14:paraId="364A090B" w14:textId="6567B2F9" w:rsidR="00952784" w:rsidRDefault="00952784">
      <w:pPr>
        <w:pStyle w:val="FootnoteText"/>
      </w:pPr>
      <w:r>
        <w:rPr>
          <w:rStyle w:val="FootnoteReference"/>
        </w:rPr>
        <w:footnoteRef/>
      </w:r>
      <w:r w:rsidR="00F94906">
        <w:rPr>
          <w:b/>
        </w:rPr>
        <w:tab/>
      </w:r>
      <w:r w:rsidR="002B143A" w:rsidRPr="002B143A">
        <w:rPr>
          <w:b/>
        </w:rPr>
        <w:t>Measurement</w:t>
      </w:r>
      <w:r w:rsidR="00994341" w:rsidRPr="00CF1083">
        <w:rPr>
          <w:b/>
        </w:rPr>
        <w:t>:</w:t>
      </w:r>
      <w:r w:rsidR="002B143A">
        <w:t xml:space="preserve"> </w:t>
      </w:r>
      <w:r>
        <w:t>Part B</w:t>
      </w:r>
      <w:r w:rsidR="00994341">
        <w:t xml:space="preserve"> </w:t>
      </w:r>
      <w:r w:rsidR="00093AD0">
        <w:t xml:space="preserve">Indicator </w:t>
      </w:r>
      <w:r>
        <w:t>Meas</w:t>
      </w:r>
      <w:r w:rsidR="00CE2756">
        <w:t>urement Table 2018, for FFY 2016</w:t>
      </w:r>
      <w:r>
        <w:t xml:space="preserve"> submission</w:t>
      </w:r>
      <w:r w:rsidR="00994341">
        <w:t>.</w:t>
      </w:r>
    </w:p>
  </w:footnote>
  <w:footnote w:id="3">
    <w:p w14:paraId="07161913" w14:textId="5459C0BF" w:rsidR="001E7A50" w:rsidRDefault="001E7A50">
      <w:pPr>
        <w:pStyle w:val="FootnoteText"/>
      </w:pPr>
      <w:r>
        <w:rPr>
          <w:rStyle w:val="FootnoteReference"/>
        </w:rPr>
        <w:footnoteRef/>
      </w:r>
      <w:r w:rsidR="00F94906">
        <w:rPr>
          <w:b/>
        </w:rPr>
        <w:tab/>
      </w:r>
      <w:r w:rsidRPr="004D4C86">
        <w:rPr>
          <w:b/>
        </w:rPr>
        <w:t>Measurement:</w:t>
      </w:r>
      <w:r>
        <w:t xml:space="preserve"> </w:t>
      </w:r>
      <w:r w:rsidR="00093AD0">
        <w:t>O</w:t>
      </w:r>
      <w:r>
        <w:t xml:space="preserve">nly </w:t>
      </w:r>
      <w:r w:rsidR="00093AD0">
        <w:t>s</w:t>
      </w:r>
      <w:r>
        <w:t>tates that have an approved policy for providin</w:t>
      </w:r>
      <w:r w:rsidR="004D4C86">
        <w:t>g parents the option of continu</w:t>
      </w:r>
      <w:r>
        <w:t>ing early intervention services beyond the child’s third birthday under 34CFR§</w:t>
      </w:r>
      <w:r w:rsidR="004D4C86">
        <w:t>303.211 or a similar State option</w:t>
      </w:r>
      <w:r w:rsidR="00093AD0">
        <w:t xml:space="preserve"> can use category f</w:t>
      </w:r>
      <w:r w:rsidR="004D4C86">
        <w:t>.</w:t>
      </w:r>
    </w:p>
  </w:footnote>
  <w:footnote w:id="4">
    <w:p w14:paraId="1BE61F9F" w14:textId="24A8263D" w:rsidR="002B143A" w:rsidRPr="003E2B1F" w:rsidRDefault="002B143A" w:rsidP="003E2B1F">
      <w:pPr>
        <w:pStyle w:val="SL-FlLftSgl"/>
        <w:rPr>
          <w:rFonts w:asciiTheme="minorHAnsi" w:hAnsiTheme="minorHAnsi"/>
          <w:b w:val="0"/>
          <w:color w:val="auto"/>
          <w:sz w:val="18"/>
          <w:szCs w:val="18"/>
        </w:rPr>
      </w:pPr>
      <w:r w:rsidRPr="00CF1083">
        <w:rPr>
          <w:rStyle w:val="FootnoteReference"/>
          <w:rFonts w:asciiTheme="minorHAnsi" w:hAnsiTheme="minorHAnsi"/>
          <w:color w:val="000000" w:themeColor="text1"/>
          <w:sz w:val="18"/>
          <w:szCs w:val="18"/>
        </w:rPr>
        <w:footnoteRef/>
      </w:r>
      <w:r w:rsidRPr="00CF108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40C03">
        <w:rPr>
          <w:rFonts w:asciiTheme="minorHAnsi" w:hAnsiTheme="minorHAnsi"/>
          <w:color w:val="auto"/>
          <w:sz w:val="18"/>
          <w:szCs w:val="18"/>
        </w:rPr>
        <w:t>Data Analysis:</w:t>
      </w:r>
      <w:r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="002D70B4">
        <w:rPr>
          <w:rFonts w:asciiTheme="minorHAnsi" w:hAnsiTheme="minorHAnsi"/>
          <w:b w:val="0"/>
          <w:color w:val="auto"/>
          <w:sz w:val="18"/>
          <w:szCs w:val="18"/>
        </w:rPr>
        <w:t>Review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 data year to year</w:t>
      </w:r>
      <w:r w:rsidR="004D08C6">
        <w:rPr>
          <w:rFonts w:asciiTheme="minorHAnsi" w:hAnsiTheme="minorHAnsi"/>
          <w:b w:val="0"/>
          <w:color w:val="auto"/>
          <w:sz w:val="18"/>
          <w:szCs w:val="18"/>
        </w:rPr>
        <w:t xml:space="preserve">,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looking for patterns statew</w:t>
      </w:r>
      <w:r w:rsidR="002D70B4">
        <w:rPr>
          <w:rFonts w:asciiTheme="minorHAnsi" w:hAnsiTheme="minorHAnsi"/>
          <w:b w:val="0"/>
          <w:color w:val="auto"/>
          <w:sz w:val="18"/>
          <w:szCs w:val="18"/>
        </w:rPr>
        <w:t>ide and within LEAs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, outliers, </w:t>
      </w:r>
      <w:r w:rsidR="00A35071">
        <w:rPr>
          <w:rFonts w:asciiTheme="minorHAnsi" w:hAnsiTheme="minorHAnsi"/>
          <w:b w:val="0"/>
          <w:color w:val="auto"/>
          <w:sz w:val="18"/>
          <w:szCs w:val="18"/>
        </w:rPr>
        <w:t xml:space="preserve">whether targets are met or </w:t>
      </w:r>
      <w:r w:rsidRPr="003E2B1F">
        <w:rPr>
          <w:rFonts w:asciiTheme="minorHAnsi" w:hAnsiTheme="minorHAnsi"/>
          <w:b w:val="0"/>
          <w:color w:val="auto"/>
          <w:sz w:val="18"/>
          <w:szCs w:val="18"/>
        </w:rPr>
        <w:t xml:space="preserve">not met, </w:t>
      </w:r>
      <w:r w:rsidR="004D08C6" w:rsidRPr="003E2B1F">
        <w:rPr>
          <w:rFonts w:asciiTheme="minorHAnsi" w:hAnsiTheme="minorHAnsi"/>
          <w:b w:val="0"/>
          <w:color w:val="auto"/>
          <w:sz w:val="18"/>
          <w:szCs w:val="18"/>
        </w:rPr>
        <w:t xml:space="preserve">and </w:t>
      </w:r>
      <w:r w:rsidRPr="003E2B1F">
        <w:rPr>
          <w:rFonts w:asciiTheme="minorHAnsi" w:hAnsiTheme="minorHAnsi"/>
          <w:b w:val="0"/>
          <w:color w:val="auto"/>
          <w:sz w:val="18"/>
          <w:szCs w:val="18"/>
        </w:rPr>
        <w:t>slippage.</w:t>
      </w:r>
    </w:p>
  </w:footnote>
  <w:footnote w:id="5">
    <w:p w14:paraId="461D3F9B" w14:textId="6728E6C2" w:rsidR="004C11BC" w:rsidRDefault="004C11BC" w:rsidP="00F94906">
      <w:pPr>
        <w:pStyle w:val="FootnoteText"/>
        <w:spacing w:after="0"/>
      </w:pPr>
      <w:r>
        <w:rPr>
          <w:rStyle w:val="FootnoteReference"/>
        </w:rPr>
        <w:footnoteRef/>
      </w:r>
      <w:r w:rsidRPr="00733362">
        <w:rPr>
          <w:b/>
        </w:rPr>
        <w:t xml:space="preserve"> </w:t>
      </w:r>
      <w:r w:rsidR="00C40C03">
        <w:rPr>
          <w:b/>
        </w:rPr>
        <w:t>Clarification:</w:t>
      </w:r>
      <w:r w:rsidR="00733362">
        <w:t xml:space="preserve"> </w:t>
      </w:r>
      <w:r w:rsidR="00FF0A4E">
        <w:t>OSEP generally sends C</w:t>
      </w:r>
      <w:r>
        <w:t xml:space="preserve">larification requests to states about 60 days </w:t>
      </w:r>
      <w:proofErr w:type="spellStart"/>
      <w:r>
        <w:t>postsubmission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9276" w14:textId="77777777" w:rsidR="00437CAF" w:rsidRDefault="00437CAF" w:rsidP="00437CAF">
    <w:pPr>
      <w:pStyle w:val="Header"/>
      <w:pBdr>
        <w:bottom w:val="single" w:sz="4" w:space="1" w:color="595959" w:themeColor="text1" w:themeTint="A6"/>
      </w:pBdr>
      <w:spacing w:after="480" w:line="240" w:lineRule="atLeast"/>
      <w:rPr>
        <w:rFonts w:cstheme="minorHAnsi"/>
        <w:b w:val="0"/>
        <w:color w:val="000000" w:themeColor="text1"/>
        <w:sz w:val="16"/>
        <w:szCs w:val="16"/>
      </w:rPr>
    </w:pPr>
    <w:r>
      <w:rPr>
        <w:rFonts w:cstheme="minorHAnsi"/>
        <w:b w:val="0"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0" locked="0" layoutInCell="1" allowOverlap="1" wp14:anchorId="23A08213" wp14:editId="5FAAD822">
          <wp:simplePos x="0" y="0"/>
          <wp:positionH relativeFrom="margin">
            <wp:posOffset>5572125</wp:posOffset>
          </wp:positionH>
          <wp:positionV relativeFrom="margin">
            <wp:posOffset>-1343025</wp:posOffset>
          </wp:positionV>
          <wp:extent cx="890018" cy="57302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C-2019-Logo_box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018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C68">
      <w:rPr>
        <w:rFonts w:cstheme="minorHAnsi"/>
        <w:b w:val="0"/>
        <w:noProof/>
        <w:color w:val="000000" w:themeColor="text1"/>
        <w:sz w:val="16"/>
        <w:szCs w:val="16"/>
      </w:rPr>
      <w:t>SEA</w:t>
    </w:r>
    <w:r w:rsidRPr="009F0C68">
      <w:rPr>
        <w:rFonts w:cstheme="minorHAnsi"/>
        <w:b w:val="0"/>
        <w:color w:val="000000" w:themeColor="text1"/>
        <w:sz w:val="16"/>
        <w:szCs w:val="16"/>
      </w:rPr>
      <w:t xml:space="preserve"> Data Processes Toolkit</w:t>
    </w:r>
  </w:p>
  <w:p w14:paraId="570775AA" w14:textId="1FCB8D02" w:rsidR="00F94906" w:rsidRPr="00AD5B2A" w:rsidRDefault="00F94906" w:rsidP="00F94906">
    <w:pPr>
      <w:pStyle w:val="Header"/>
      <w:pBdr>
        <w:bottom w:val="single" w:sz="18" w:space="8" w:color="01579B"/>
      </w:pBdr>
      <w:spacing w:line="240" w:lineRule="atLeast"/>
      <w:jc w:val="center"/>
      <w:rPr>
        <w:color w:val="26847A"/>
        <w:sz w:val="32"/>
        <w:szCs w:val="32"/>
      </w:rPr>
    </w:pPr>
    <w:r w:rsidRPr="00AD5B2A">
      <w:rPr>
        <w:color w:val="26847A"/>
        <w:sz w:val="32"/>
        <w:szCs w:val="32"/>
      </w:rPr>
      <w:t>Data Collection Protocol—</w:t>
    </w:r>
    <w:r>
      <w:rPr>
        <w:color w:val="26847A"/>
        <w:sz w:val="32"/>
        <w:szCs w:val="32"/>
      </w:rPr>
      <w:t>Indicator 12. Early Childhood Transition</w:t>
    </w:r>
  </w:p>
  <w:p w14:paraId="184EAD96" w14:textId="6BD81A17" w:rsidR="00952784" w:rsidRDefault="0095278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3479" w14:textId="4D19A406" w:rsidR="00952784" w:rsidRDefault="00437CAF" w:rsidP="00437CAF">
    <w:pPr>
      <w:pStyle w:val="C2-CtrSglSp"/>
      <w:spacing w:after="240"/>
    </w:pPr>
    <w:r>
      <w:rPr>
        <w:noProof/>
      </w:rPr>
      <w:drawing>
        <wp:inline distT="0" distB="0" distL="0" distR="0" wp14:anchorId="6BB66972" wp14:editId="5539CCB0">
          <wp:extent cx="6400813" cy="1600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cator 12. Early Childhood Transition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1585"/>
    <w:rsid w:val="00011EBD"/>
    <w:rsid w:val="000136A4"/>
    <w:rsid w:val="000160CA"/>
    <w:rsid w:val="00016C62"/>
    <w:rsid w:val="00017978"/>
    <w:rsid w:val="000201B3"/>
    <w:rsid w:val="0002024B"/>
    <w:rsid w:val="00020CB8"/>
    <w:rsid w:val="000210F1"/>
    <w:rsid w:val="0002445F"/>
    <w:rsid w:val="0002593D"/>
    <w:rsid w:val="000350E9"/>
    <w:rsid w:val="00036AF4"/>
    <w:rsid w:val="000434D4"/>
    <w:rsid w:val="00043766"/>
    <w:rsid w:val="00043871"/>
    <w:rsid w:val="000447C2"/>
    <w:rsid w:val="00045FE6"/>
    <w:rsid w:val="000462CC"/>
    <w:rsid w:val="00047085"/>
    <w:rsid w:val="00047819"/>
    <w:rsid w:val="00051FAB"/>
    <w:rsid w:val="0005347C"/>
    <w:rsid w:val="000543D4"/>
    <w:rsid w:val="00054C09"/>
    <w:rsid w:val="00057925"/>
    <w:rsid w:val="0006470C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2B37"/>
    <w:rsid w:val="00093AD0"/>
    <w:rsid w:val="00097117"/>
    <w:rsid w:val="00097151"/>
    <w:rsid w:val="000971F0"/>
    <w:rsid w:val="000A1435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4E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63EE"/>
    <w:rsid w:val="0010751E"/>
    <w:rsid w:val="00111E49"/>
    <w:rsid w:val="0011262D"/>
    <w:rsid w:val="00114C6E"/>
    <w:rsid w:val="00117B5D"/>
    <w:rsid w:val="00120A6B"/>
    <w:rsid w:val="00120F8A"/>
    <w:rsid w:val="00121A4A"/>
    <w:rsid w:val="0012232C"/>
    <w:rsid w:val="00122502"/>
    <w:rsid w:val="001245D3"/>
    <w:rsid w:val="00132700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95B"/>
    <w:rsid w:val="001E1F11"/>
    <w:rsid w:val="001E2C7C"/>
    <w:rsid w:val="001E3070"/>
    <w:rsid w:val="001E3800"/>
    <w:rsid w:val="001E3D5B"/>
    <w:rsid w:val="001E5F24"/>
    <w:rsid w:val="001E6079"/>
    <w:rsid w:val="001E6F95"/>
    <w:rsid w:val="001E7A50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1DE"/>
    <w:rsid w:val="00215419"/>
    <w:rsid w:val="0022519E"/>
    <w:rsid w:val="0022657F"/>
    <w:rsid w:val="0022688E"/>
    <w:rsid w:val="00227F52"/>
    <w:rsid w:val="00235855"/>
    <w:rsid w:val="00240C22"/>
    <w:rsid w:val="002464DD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3E2"/>
    <w:rsid w:val="00285DC3"/>
    <w:rsid w:val="002920AF"/>
    <w:rsid w:val="00294126"/>
    <w:rsid w:val="002A5CCA"/>
    <w:rsid w:val="002A664F"/>
    <w:rsid w:val="002A6821"/>
    <w:rsid w:val="002B143A"/>
    <w:rsid w:val="002B1B0B"/>
    <w:rsid w:val="002C1259"/>
    <w:rsid w:val="002C3249"/>
    <w:rsid w:val="002C5605"/>
    <w:rsid w:val="002C7931"/>
    <w:rsid w:val="002D1420"/>
    <w:rsid w:val="002D26FE"/>
    <w:rsid w:val="002D3E8C"/>
    <w:rsid w:val="002D70B4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07AC"/>
    <w:rsid w:val="003211A7"/>
    <w:rsid w:val="0032283B"/>
    <w:rsid w:val="00322B65"/>
    <w:rsid w:val="00323FC9"/>
    <w:rsid w:val="003254F9"/>
    <w:rsid w:val="0033031A"/>
    <w:rsid w:val="00331369"/>
    <w:rsid w:val="00334DC9"/>
    <w:rsid w:val="00334ECA"/>
    <w:rsid w:val="00337B8E"/>
    <w:rsid w:val="0034084C"/>
    <w:rsid w:val="0034104F"/>
    <w:rsid w:val="00342BE9"/>
    <w:rsid w:val="00344478"/>
    <w:rsid w:val="00345907"/>
    <w:rsid w:val="00352BA5"/>
    <w:rsid w:val="0036015E"/>
    <w:rsid w:val="00365E82"/>
    <w:rsid w:val="00366DF1"/>
    <w:rsid w:val="00366E6E"/>
    <w:rsid w:val="00367B01"/>
    <w:rsid w:val="00370B5A"/>
    <w:rsid w:val="00373514"/>
    <w:rsid w:val="003761FE"/>
    <w:rsid w:val="00380072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D3AB7"/>
    <w:rsid w:val="003E0053"/>
    <w:rsid w:val="003E0294"/>
    <w:rsid w:val="003E2924"/>
    <w:rsid w:val="003E2B1F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12C7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1FD8"/>
    <w:rsid w:val="00435CA3"/>
    <w:rsid w:val="004364D2"/>
    <w:rsid w:val="004370C1"/>
    <w:rsid w:val="00437170"/>
    <w:rsid w:val="00437CAF"/>
    <w:rsid w:val="00440E0E"/>
    <w:rsid w:val="00442C17"/>
    <w:rsid w:val="00443F68"/>
    <w:rsid w:val="00450747"/>
    <w:rsid w:val="0045428D"/>
    <w:rsid w:val="004558E4"/>
    <w:rsid w:val="00462535"/>
    <w:rsid w:val="00462A80"/>
    <w:rsid w:val="004660B2"/>
    <w:rsid w:val="00466EA4"/>
    <w:rsid w:val="0047041E"/>
    <w:rsid w:val="00473BC1"/>
    <w:rsid w:val="004756BB"/>
    <w:rsid w:val="004762B0"/>
    <w:rsid w:val="00481DB2"/>
    <w:rsid w:val="00484DAF"/>
    <w:rsid w:val="0048700B"/>
    <w:rsid w:val="00491230"/>
    <w:rsid w:val="00493E51"/>
    <w:rsid w:val="004969DD"/>
    <w:rsid w:val="004976EC"/>
    <w:rsid w:val="004A0E76"/>
    <w:rsid w:val="004A4A73"/>
    <w:rsid w:val="004A58FC"/>
    <w:rsid w:val="004B045B"/>
    <w:rsid w:val="004B2C30"/>
    <w:rsid w:val="004B3AEF"/>
    <w:rsid w:val="004C11BC"/>
    <w:rsid w:val="004C285C"/>
    <w:rsid w:val="004C34BD"/>
    <w:rsid w:val="004C7029"/>
    <w:rsid w:val="004D08C6"/>
    <w:rsid w:val="004D0D4C"/>
    <w:rsid w:val="004D10FF"/>
    <w:rsid w:val="004D3719"/>
    <w:rsid w:val="004D3A77"/>
    <w:rsid w:val="004D4C86"/>
    <w:rsid w:val="004D7D5F"/>
    <w:rsid w:val="004E04B5"/>
    <w:rsid w:val="004E5791"/>
    <w:rsid w:val="004E7AC1"/>
    <w:rsid w:val="004E7BBF"/>
    <w:rsid w:val="004F4243"/>
    <w:rsid w:val="004F7218"/>
    <w:rsid w:val="005019B6"/>
    <w:rsid w:val="005021DA"/>
    <w:rsid w:val="005024F5"/>
    <w:rsid w:val="0050714F"/>
    <w:rsid w:val="00510CA1"/>
    <w:rsid w:val="005126AD"/>
    <w:rsid w:val="00515FAD"/>
    <w:rsid w:val="00517BD9"/>
    <w:rsid w:val="00520882"/>
    <w:rsid w:val="00520D7C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57626"/>
    <w:rsid w:val="00561E95"/>
    <w:rsid w:val="00562ECD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A7115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E7C08"/>
    <w:rsid w:val="005F33C9"/>
    <w:rsid w:val="005F5509"/>
    <w:rsid w:val="005F5EC9"/>
    <w:rsid w:val="00607062"/>
    <w:rsid w:val="00607453"/>
    <w:rsid w:val="006120ED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37CE6"/>
    <w:rsid w:val="00642484"/>
    <w:rsid w:val="00642E3B"/>
    <w:rsid w:val="0064386F"/>
    <w:rsid w:val="00644471"/>
    <w:rsid w:val="0064610B"/>
    <w:rsid w:val="00647A6C"/>
    <w:rsid w:val="00651022"/>
    <w:rsid w:val="006521E4"/>
    <w:rsid w:val="00652AB7"/>
    <w:rsid w:val="00655C0A"/>
    <w:rsid w:val="00657C24"/>
    <w:rsid w:val="00660A84"/>
    <w:rsid w:val="006634CA"/>
    <w:rsid w:val="00666087"/>
    <w:rsid w:val="00671347"/>
    <w:rsid w:val="00672712"/>
    <w:rsid w:val="00672E8F"/>
    <w:rsid w:val="006756A3"/>
    <w:rsid w:val="0067644D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770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5ED5"/>
    <w:rsid w:val="006A6A76"/>
    <w:rsid w:val="006B0F3F"/>
    <w:rsid w:val="006B1BCF"/>
    <w:rsid w:val="006B678C"/>
    <w:rsid w:val="006B7CE7"/>
    <w:rsid w:val="006C1BD4"/>
    <w:rsid w:val="006C3FAF"/>
    <w:rsid w:val="006C650F"/>
    <w:rsid w:val="006D1DA6"/>
    <w:rsid w:val="006D243B"/>
    <w:rsid w:val="006D3607"/>
    <w:rsid w:val="006D4C97"/>
    <w:rsid w:val="006D5B8C"/>
    <w:rsid w:val="006D735C"/>
    <w:rsid w:val="006D7596"/>
    <w:rsid w:val="006E2D53"/>
    <w:rsid w:val="006E3721"/>
    <w:rsid w:val="006E577E"/>
    <w:rsid w:val="006E5833"/>
    <w:rsid w:val="006E775D"/>
    <w:rsid w:val="006E7A0C"/>
    <w:rsid w:val="006F0FCE"/>
    <w:rsid w:val="006F2C90"/>
    <w:rsid w:val="006F44AE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32FB"/>
    <w:rsid w:val="00733362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0F54"/>
    <w:rsid w:val="00783728"/>
    <w:rsid w:val="00784E45"/>
    <w:rsid w:val="00785500"/>
    <w:rsid w:val="0078695D"/>
    <w:rsid w:val="00787E9B"/>
    <w:rsid w:val="00793220"/>
    <w:rsid w:val="00795760"/>
    <w:rsid w:val="007A2B25"/>
    <w:rsid w:val="007A35E1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C94"/>
    <w:rsid w:val="007C2D80"/>
    <w:rsid w:val="007C31AE"/>
    <w:rsid w:val="007C4B88"/>
    <w:rsid w:val="007D05B9"/>
    <w:rsid w:val="007E2327"/>
    <w:rsid w:val="007E401F"/>
    <w:rsid w:val="007E4B3E"/>
    <w:rsid w:val="007F32E5"/>
    <w:rsid w:val="007F34EF"/>
    <w:rsid w:val="00805293"/>
    <w:rsid w:val="008062FD"/>
    <w:rsid w:val="00806CB4"/>
    <w:rsid w:val="008076EF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4DD1"/>
    <w:rsid w:val="00835208"/>
    <w:rsid w:val="00835630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6324B"/>
    <w:rsid w:val="0086444A"/>
    <w:rsid w:val="0086651E"/>
    <w:rsid w:val="00871A65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96576"/>
    <w:rsid w:val="008A0886"/>
    <w:rsid w:val="008A1BAE"/>
    <w:rsid w:val="008A544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3CAE"/>
    <w:rsid w:val="008C5D00"/>
    <w:rsid w:val="008C6B17"/>
    <w:rsid w:val="008D04DF"/>
    <w:rsid w:val="008D11CF"/>
    <w:rsid w:val="008D1C6A"/>
    <w:rsid w:val="008D2A25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3CF5"/>
    <w:rsid w:val="00905CDF"/>
    <w:rsid w:val="00907B93"/>
    <w:rsid w:val="00914D9F"/>
    <w:rsid w:val="0091759D"/>
    <w:rsid w:val="00920C87"/>
    <w:rsid w:val="00923737"/>
    <w:rsid w:val="00923C66"/>
    <w:rsid w:val="009241D0"/>
    <w:rsid w:val="00924626"/>
    <w:rsid w:val="0092620F"/>
    <w:rsid w:val="00926D60"/>
    <w:rsid w:val="00933EF8"/>
    <w:rsid w:val="009355F7"/>
    <w:rsid w:val="0093635C"/>
    <w:rsid w:val="00936A7F"/>
    <w:rsid w:val="00940319"/>
    <w:rsid w:val="00943EFC"/>
    <w:rsid w:val="00945E4E"/>
    <w:rsid w:val="00950A60"/>
    <w:rsid w:val="00952784"/>
    <w:rsid w:val="009531DE"/>
    <w:rsid w:val="009531DF"/>
    <w:rsid w:val="0095362B"/>
    <w:rsid w:val="0095517C"/>
    <w:rsid w:val="0095765A"/>
    <w:rsid w:val="00960868"/>
    <w:rsid w:val="00961700"/>
    <w:rsid w:val="0097142D"/>
    <w:rsid w:val="00971A44"/>
    <w:rsid w:val="00973290"/>
    <w:rsid w:val="0097527C"/>
    <w:rsid w:val="00976050"/>
    <w:rsid w:val="009769BE"/>
    <w:rsid w:val="00980DEF"/>
    <w:rsid w:val="00983DF0"/>
    <w:rsid w:val="0098426D"/>
    <w:rsid w:val="0098621F"/>
    <w:rsid w:val="009871D3"/>
    <w:rsid w:val="00991C46"/>
    <w:rsid w:val="00992616"/>
    <w:rsid w:val="00992641"/>
    <w:rsid w:val="00994341"/>
    <w:rsid w:val="009943A4"/>
    <w:rsid w:val="009967F4"/>
    <w:rsid w:val="009A18D5"/>
    <w:rsid w:val="009A190F"/>
    <w:rsid w:val="009A7548"/>
    <w:rsid w:val="009A77B6"/>
    <w:rsid w:val="009B0A84"/>
    <w:rsid w:val="009B1B09"/>
    <w:rsid w:val="009B2F1A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228D"/>
    <w:rsid w:val="00A036DD"/>
    <w:rsid w:val="00A071E0"/>
    <w:rsid w:val="00A106D4"/>
    <w:rsid w:val="00A11D21"/>
    <w:rsid w:val="00A14160"/>
    <w:rsid w:val="00A1593B"/>
    <w:rsid w:val="00A15E42"/>
    <w:rsid w:val="00A165E0"/>
    <w:rsid w:val="00A20E2A"/>
    <w:rsid w:val="00A23806"/>
    <w:rsid w:val="00A24382"/>
    <w:rsid w:val="00A247F1"/>
    <w:rsid w:val="00A254A3"/>
    <w:rsid w:val="00A25503"/>
    <w:rsid w:val="00A26A1B"/>
    <w:rsid w:val="00A26E08"/>
    <w:rsid w:val="00A306E7"/>
    <w:rsid w:val="00A34278"/>
    <w:rsid w:val="00A35071"/>
    <w:rsid w:val="00A375CE"/>
    <w:rsid w:val="00A408F5"/>
    <w:rsid w:val="00A44935"/>
    <w:rsid w:val="00A5064E"/>
    <w:rsid w:val="00A5291B"/>
    <w:rsid w:val="00A65267"/>
    <w:rsid w:val="00A65375"/>
    <w:rsid w:val="00A66536"/>
    <w:rsid w:val="00A727FD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A4198"/>
    <w:rsid w:val="00AB4EE8"/>
    <w:rsid w:val="00AB603E"/>
    <w:rsid w:val="00AB60EF"/>
    <w:rsid w:val="00AB7EB6"/>
    <w:rsid w:val="00AC12D1"/>
    <w:rsid w:val="00AC3C35"/>
    <w:rsid w:val="00AC598C"/>
    <w:rsid w:val="00AC629C"/>
    <w:rsid w:val="00AC644B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D671F"/>
    <w:rsid w:val="00AE03C6"/>
    <w:rsid w:val="00AE1438"/>
    <w:rsid w:val="00AE2720"/>
    <w:rsid w:val="00AE382C"/>
    <w:rsid w:val="00AE4174"/>
    <w:rsid w:val="00AF1251"/>
    <w:rsid w:val="00AF1627"/>
    <w:rsid w:val="00AF3094"/>
    <w:rsid w:val="00AF7EF2"/>
    <w:rsid w:val="00B00A81"/>
    <w:rsid w:val="00B06CAC"/>
    <w:rsid w:val="00B118D4"/>
    <w:rsid w:val="00B11E90"/>
    <w:rsid w:val="00B128B4"/>
    <w:rsid w:val="00B147B2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8714F"/>
    <w:rsid w:val="00B876F0"/>
    <w:rsid w:val="00B90BCF"/>
    <w:rsid w:val="00B9633C"/>
    <w:rsid w:val="00B9677F"/>
    <w:rsid w:val="00BA3972"/>
    <w:rsid w:val="00BA4352"/>
    <w:rsid w:val="00BA4999"/>
    <w:rsid w:val="00BB06E9"/>
    <w:rsid w:val="00BB41A3"/>
    <w:rsid w:val="00BB6A54"/>
    <w:rsid w:val="00BC1C91"/>
    <w:rsid w:val="00BC2412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6ACF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74BD"/>
    <w:rsid w:val="00C40C03"/>
    <w:rsid w:val="00C41ADD"/>
    <w:rsid w:val="00C44186"/>
    <w:rsid w:val="00C4638A"/>
    <w:rsid w:val="00C4710C"/>
    <w:rsid w:val="00C479D9"/>
    <w:rsid w:val="00C50612"/>
    <w:rsid w:val="00C577CF"/>
    <w:rsid w:val="00C61ED2"/>
    <w:rsid w:val="00C63AD6"/>
    <w:rsid w:val="00C64725"/>
    <w:rsid w:val="00C670DD"/>
    <w:rsid w:val="00C67698"/>
    <w:rsid w:val="00C67DF0"/>
    <w:rsid w:val="00C754E8"/>
    <w:rsid w:val="00C76DBD"/>
    <w:rsid w:val="00C81152"/>
    <w:rsid w:val="00C85FED"/>
    <w:rsid w:val="00C87C2C"/>
    <w:rsid w:val="00C9296E"/>
    <w:rsid w:val="00C92BEE"/>
    <w:rsid w:val="00C940EC"/>
    <w:rsid w:val="00C959DC"/>
    <w:rsid w:val="00CA1E57"/>
    <w:rsid w:val="00CA2A85"/>
    <w:rsid w:val="00CA311D"/>
    <w:rsid w:val="00CA50B7"/>
    <w:rsid w:val="00CA576F"/>
    <w:rsid w:val="00CA7413"/>
    <w:rsid w:val="00CB01DE"/>
    <w:rsid w:val="00CB12AF"/>
    <w:rsid w:val="00CB4A8C"/>
    <w:rsid w:val="00CB6421"/>
    <w:rsid w:val="00CB774B"/>
    <w:rsid w:val="00CC434A"/>
    <w:rsid w:val="00CC6093"/>
    <w:rsid w:val="00CD3E54"/>
    <w:rsid w:val="00CD70C0"/>
    <w:rsid w:val="00CE05B6"/>
    <w:rsid w:val="00CE2112"/>
    <w:rsid w:val="00CE2756"/>
    <w:rsid w:val="00CE34FF"/>
    <w:rsid w:val="00CE35C9"/>
    <w:rsid w:val="00CE6820"/>
    <w:rsid w:val="00CF0615"/>
    <w:rsid w:val="00CF1083"/>
    <w:rsid w:val="00CF1DD4"/>
    <w:rsid w:val="00CF2F50"/>
    <w:rsid w:val="00CF5FFB"/>
    <w:rsid w:val="00CF7BE2"/>
    <w:rsid w:val="00CF7EF1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03AF"/>
    <w:rsid w:val="00D2140D"/>
    <w:rsid w:val="00D256B0"/>
    <w:rsid w:val="00D302BC"/>
    <w:rsid w:val="00D30BA3"/>
    <w:rsid w:val="00D334F4"/>
    <w:rsid w:val="00D34DA4"/>
    <w:rsid w:val="00D423C7"/>
    <w:rsid w:val="00D423CA"/>
    <w:rsid w:val="00D42488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2B11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6C9A"/>
    <w:rsid w:val="00E07F21"/>
    <w:rsid w:val="00E11D52"/>
    <w:rsid w:val="00E1521A"/>
    <w:rsid w:val="00E17D5B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3324"/>
    <w:rsid w:val="00E45D91"/>
    <w:rsid w:val="00E46435"/>
    <w:rsid w:val="00E46481"/>
    <w:rsid w:val="00E50B54"/>
    <w:rsid w:val="00E5636C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97D"/>
    <w:rsid w:val="00ED0C2B"/>
    <w:rsid w:val="00ED29E8"/>
    <w:rsid w:val="00ED3B35"/>
    <w:rsid w:val="00ED4B14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12E4E"/>
    <w:rsid w:val="00F15BA5"/>
    <w:rsid w:val="00F204B8"/>
    <w:rsid w:val="00F213B6"/>
    <w:rsid w:val="00F21C6A"/>
    <w:rsid w:val="00F25F46"/>
    <w:rsid w:val="00F26028"/>
    <w:rsid w:val="00F30485"/>
    <w:rsid w:val="00F31973"/>
    <w:rsid w:val="00F31C43"/>
    <w:rsid w:val="00F34D80"/>
    <w:rsid w:val="00F37879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4906"/>
    <w:rsid w:val="00F965BC"/>
    <w:rsid w:val="00FA25EE"/>
    <w:rsid w:val="00FA3124"/>
    <w:rsid w:val="00FA5C13"/>
    <w:rsid w:val="00FA6B87"/>
    <w:rsid w:val="00FB0D79"/>
    <w:rsid w:val="00FB2E32"/>
    <w:rsid w:val="00FB2FBC"/>
    <w:rsid w:val="00FB38C4"/>
    <w:rsid w:val="00FB6A2E"/>
    <w:rsid w:val="00FC0779"/>
    <w:rsid w:val="00FC13FB"/>
    <w:rsid w:val="00FC40BB"/>
    <w:rsid w:val="00FC4661"/>
    <w:rsid w:val="00FC64BE"/>
    <w:rsid w:val="00FC6A9C"/>
    <w:rsid w:val="00FD1965"/>
    <w:rsid w:val="00FD1D0E"/>
    <w:rsid w:val="00FD1FCB"/>
    <w:rsid w:val="00FD4BF9"/>
    <w:rsid w:val="00FD5618"/>
    <w:rsid w:val="00FD7E6B"/>
    <w:rsid w:val="00FE4FF8"/>
    <w:rsid w:val="00FE5E10"/>
    <w:rsid w:val="00FE64E7"/>
    <w:rsid w:val="00FE7767"/>
    <w:rsid w:val="00FF045F"/>
    <w:rsid w:val="00FF0A4E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C0BEBC"/>
  <w15:docId w15:val="{E74CE33F-6859-447E-9367-B68A7D0B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F94906"/>
    <w:pPr>
      <w:keepNext/>
      <w:spacing w:after="240" w:line="240" w:lineRule="auto"/>
      <w:jc w:val="center"/>
      <w:outlineLvl w:val="1"/>
    </w:pPr>
    <w:rPr>
      <w:rFonts w:cstheme="minorHAnsi"/>
      <w:b/>
      <w:color w:val="26847A"/>
      <w:sz w:val="40"/>
      <w:szCs w:val="4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paragraph" w:customStyle="1" w:styleId="indicator-section-description">
    <w:name w:val="indicator-section-description"/>
    <w:basedOn w:val="Normal"/>
    <w:rsid w:val="0011262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A5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A50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1E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6B40-A768-4C8C-A353-D795781D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AF347331.dotm</Template>
  <TotalTime>0</TotalTime>
  <Pages>4</Pages>
  <Words>697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O'Hara;Lindsay Wise</dc:creator>
  <cp:lastModifiedBy>Sylvie Warren</cp:lastModifiedBy>
  <cp:revision>2</cp:revision>
  <cp:lastPrinted>2015-11-12T14:28:00Z</cp:lastPrinted>
  <dcterms:created xsi:type="dcterms:W3CDTF">2020-02-25T14:51:00Z</dcterms:created>
  <dcterms:modified xsi:type="dcterms:W3CDTF">2020-02-25T14:51:00Z</dcterms:modified>
</cp:coreProperties>
</file>