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6E" w:rsidRPr="002C186E" w:rsidRDefault="002C186E" w:rsidP="002C186E">
      <w:pPr>
        <w:pStyle w:val="Heading2"/>
        <w:tabs>
          <w:tab w:val="clear" w:pos="1152"/>
        </w:tabs>
        <w:spacing w:before="240" w:after="240" w:line="240" w:lineRule="auto"/>
        <w:ind w:left="0" w:firstLine="0"/>
        <w:jc w:val="center"/>
        <w:rPr>
          <w:rFonts w:asciiTheme="minorHAnsi" w:hAnsiTheme="minorHAnsi"/>
          <w:color w:val="26847A"/>
          <w:sz w:val="40"/>
          <w:szCs w:val="40"/>
        </w:rPr>
      </w:pPr>
      <w:bookmarkStart w:id="0" w:name="_GoBack"/>
      <w:bookmarkEnd w:id="0"/>
      <w:r w:rsidRPr="002C186E">
        <w:rPr>
          <w:rFonts w:asciiTheme="minorHAnsi" w:hAnsiTheme="minorHAnsi"/>
          <w:color w:val="26847A"/>
          <w:sz w:val="40"/>
          <w:szCs w:val="40"/>
        </w:rPr>
        <w:t>Essential Elements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2C186E" w:rsidRPr="002C186E" w:rsidTr="002C186E">
        <w:tc>
          <w:tcPr>
            <w:tcW w:w="10080" w:type="dxa"/>
            <w:shd w:val="clear" w:color="auto" w:fill="01579B"/>
          </w:tcPr>
          <w:p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Data Collection Name: </w:t>
            </w:r>
            <w:r w:rsidRPr="002C186E">
              <w:rPr>
                <w:rFonts w:asciiTheme="minorHAnsi" w:hAnsiTheme="minorHAnsi" w:cstheme="minorHAnsi"/>
                <w:color w:val="FFFFFF" w:themeColor="background1"/>
                <w:sz w:val="20"/>
                <w:szCs w:val="24"/>
              </w:rPr>
              <w:t>Reference the name the collection is known by in the SEA. For accuracy of communication throughout the SEA, reference each data collection by only one name.</w:t>
            </w:r>
            <w:r w:rsidRPr="002C186E">
              <w:rPr>
                <w:rFonts w:asciiTheme="minorHAnsi" w:hAnsiTheme="minorHAnsi" w:cstheme="minorHAnsi"/>
                <w:b/>
                <w:color w:val="FFFFFF" w:themeColor="background1"/>
                <w:sz w:val="20"/>
                <w:szCs w:val="24"/>
              </w:rPr>
              <w:t xml:space="preserve"> </w:t>
            </w:r>
          </w:p>
        </w:tc>
      </w:tr>
      <w:tr w:rsidR="002C186E" w:rsidRPr="002C186E" w:rsidTr="002C186E">
        <w:tc>
          <w:tcPr>
            <w:tcW w:w="10080" w:type="dxa"/>
            <w:tcBorders>
              <w:bottom w:val="single" w:sz="4" w:space="0" w:color="auto"/>
            </w:tcBorders>
            <w:tcMar>
              <w:top w:w="115" w:type="dxa"/>
              <w:left w:w="115" w:type="dxa"/>
              <w:bottom w:w="115" w:type="dxa"/>
              <w:right w:w="115" w:type="dxa"/>
            </w:tcMar>
          </w:tcPr>
          <w:p w:rsidR="002C186E" w:rsidRPr="002C186E" w:rsidRDefault="002C186E" w:rsidP="002C186E">
            <w:pPr>
              <w:rPr>
                <w:rFonts w:asciiTheme="minorHAnsi" w:hAnsiTheme="minorHAnsi" w:cstheme="minorHAnsi"/>
                <w:color w:val="000000" w:themeColor="text1"/>
                <w:sz w:val="20"/>
              </w:rPr>
            </w:pPr>
          </w:p>
        </w:tc>
      </w:tr>
      <w:tr w:rsidR="002C186E" w:rsidRPr="002C186E" w:rsidTr="002C186E">
        <w:tc>
          <w:tcPr>
            <w:tcW w:w="10080" w:type="dxa"/>
            <w:shd w:val="clear" w:color="auto" w:fill="01579B"/>
          </w:tcPr>
          <w:p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Associated ED</w:t>
            </w:r>
            <w:r w:rsidRPr="002C186E">
              <w:rPr>
                <w:rFonts w:asciiTheme="minorHAnsi" w:hAnsiTheme="minorHAnsi" w:cstheme="minorHAnsi"/>
                <w:b/>
                <w:i/>
                <w:color w:val="FFFFFF" w:themeColor="background1"/>
                <w:sz w:val="20"/>
                <w:szCs w:val="24"/>
              </w:rPr>
              <w:t xml:space="preserve">Facts </w:t>
            </w:r>
            <w:r w:rsidRPr="002C186E">
              <w:rPr>
                <w:rFonts w:asciiTheme="minorHAnsi" w:hAnsiTheme="minorHAnsi" w:cstheme="minorHAnsi"/>
                <w:b/>
                <w:color w:val="FFFFFF" w:themeColor="background1"/>
                <w:sz w:val="20"/>
                <w:szCs w:val="24"/>
              </w:rPr>
              <w:t xml:space="preserve"> File Number:</w:t>
            </w:r>
          </w:p>
        </w:tc>
      </w:tr>
      <w:tr w:rsidR="002C186E" w:rsidRPr="002C186E" w:rsidTr="002C186E">
        <w:tc>
          <w:tcPr>
            <w:tcW w:w="10080" w:type="dxa"/>
            <w:tcBorders>
              <w:bottom w:val="single" w:sz="4" w:space="0" w:color="auto"/>
            </w:tcBorders>
            <w:tcMar>
              <w:top w:w="115" w:type="dxa"/>
              <w:left w:w="115" w:type="dxa"/>
              <w:bottom w:w="115" w:type="dxa"/>
              <w:right w:w="115" w:type="dxa"/>
            </w:tcMar>
          </w:tcPr>
          <w:p w:rsidR="002C186E" w:rsidRPr="002C186E" w:rsidRDefault="002C186E" w:rsidP="002C186E">
            <w:pPr>
              <w:numPr>
                <w:ilvl w:val="0"/>
                <w:numId w:val="23"/>
              </w:numPr>
              <w:ind w:left="360"/>
              <w:contextualSpacing/>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FS009 — Children with Disabilities (IDEA) Exiting Special Education</w:t>
            </w:r>
          </w:p>
        </w:tc>
      </w:tr>
      <w:tr w:rsidR="002C186E" w:rsidRPr="002C186E" w:rsidTr="002C186E">
        <w:tc>
          <w:tcPr>
            <w:tcW w:w="10080" w:type="dxa"/>
            <w:shd w:val="clear" w:color="auto" w:fill="01579B"/>
          </w:tcPr>
          <w:p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Data Stewards: </w:t>
            </w:r>
            <w:r w:rsidRPr="002C186E">
              <w:rPr>
                <w:rFonts w:asciiTheme="minorHAnsi" w:hAnsiTheme="minorHAnsi" w:cstheme="minorHAnsi"/>
                <w:color w:val="FFFFFF" w:themeColor="background1"/>
                <w:sz w:val="20"/>
                <w:szCs w:val="24"/>
              </w:rPr>
              <w:t>Provide titles and names, contact information, department, and any notes on persons responsible for collections, validation, and submission. If there are multiple parties responsible or involved in the process, list them all (i.e., Part B Data Manager, ED</w:t>
            </w:r>
            <w:r w:rsidRPr="002C186E">
              <w:rPr>
                <w:rFonts w:asciiTheme="minorHAnsi" w:hAnsiTheme="minorHAnsi" w:cstheme="minorHAnsi"/>
                <w:i/>
                <w:color w:val="FFFFFF" w:themeColor="background1"/>
                <w:sz w:val="20"/>
                <w:szCs w:val="24"/>
              </w:rPr>
              <w:t>Facts</w:t>
            </w:r>
            <w:r w:rsidRPr="002C186E">
              <w:rPr>
                <w:rFonts w:asciiTheme="minorHAnsi" w:hAnsiTheme="minorHAnsi" w:cstheme="minorHAnsi"/>
                <w:color w:val="FFFFFF" w:themeColor="background1"/>
                <w:sz w:val="20"/>
                <w:szCs w:val="24"/>
              </w:rPr>
              <w:t xml:space="preserve"> Coordinator, etc.).</w:t>
            </w:r>
          </w:p>
        </w:tc>
      </w:tr>
      <w:tr w:rsidR="002C186E" w:rsidRPr="002C186E" w:rsidTr="002C186E">
        <w:tc>
          <w:tcPr>
            <w:tcW w:w="10080" w:type="dxa"/>
            <w:tcBorders>
              <w:bottom w:val="single" w:sz="4" w:space="0" w:color="auto"/>
            </w:tcBorders>
          </w:tcPr>
          <w:p w:rsidR="002C186E" w:rsidRPr="002C186E" w:rsidRDefault="002C186E" w:rsidP="002C186E">
            <w:pPr>
              <w:rPr>
                <w:rFonts w:asciiTheme="minorHAnsi" w:hAnsiTheme="minorHAnsi" w:cstheme="minorHAnsi"/>
                <w:color w:val="000000" w:themeColor="text1"/>
                <w:sz w:val="20"/>
              </w:rPr>
            </w:pPr>
          </w:p>
        </w:tc>
      </w:tr>
      <w:tr w:rsidR="002C186E" w:rsidRPr="002C186E" w:rsidTr="002C186E">
        <w:tc>
          <w:tcPr>
            <w:tcW w:w="10080" w:type="dxa"/>
            <w:shd w:val="clear" w:color="auto" w:fill="01579B"/>
          </w:tcPr>
          <w:p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Data Collection Levels: </w:t>
            </w:r>
            <w:r w:rsidRPr="002C186E">
              <w:rPr>
                <w:rFonts w:asciiTheme="minorHAnsi" w:hAnsiTheme="minorHAnsi" w:cstheme="minorHAnsi"/>
                <w:color w:val="FFFFFF" w:themeColor="background1"/>
                <w:sz w:val="20"/>
                <w:szCs w:val="24"/>
              </w:rPr>
              <w:t>These are the levels at which data are collected and reported.</w:t>
            </w:r>
            <w:r w:rsidRPr="002C186E">
              <w:rPr>
                <w:rFonts w:asciiTheme="minorHAnsi" w:hAnsiTheme="minorHAnsi" w:cstheme="minorHAnsi"/>
                <w:b/>
                <w:color w:val="FFFFFF" w:themeColor="background1"/>
                <w:sz w:val="20"/>
                <w:szCs w:val="24"/>
              </w:rPr>
              <w:t xml:space="preserve"> </w:t>
            </w:r>
          </w:p>
        </w:tc>
      </w:tr>
      <w:tr w:rsidR="002C186E" w:rsidRPr="002C186E" w:rsidTr="002C186E">
        <w:tc>
          <w:tcPr>
            <w:tcW w:w="10080" w:type="dxa"/>
            <w:tcBorders>
              <w:bottom w:val="single" w:sz="4" w:space="0" w:color="auto"/>
            </w:tcBorders>
            <w:shd w:val="clear" w:color="auto" w:fill="auto"/>
          </w:tcPr>
          <w:p w:rsidR="002C186E" w:rsidRPr="002C186E" w:rsidRDefault="002C186E" w:rsidP="002C186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Individual, student, and aggregate levels</w:t>
            </w:r>
          </w:p>
          <w:p w:rsidR="002C186E" w:rsidRPr="002C186E" w:rsidRDefault="002C186E" w:rsidP="002C186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By student demographics (race/ethnicity, gender, disability, age, and LEP status)</w:t>
            </w:r>
          </w:p>
          <w:p w:rsidR="002C186E" w:rsidRPr="002C186E" w:rsidRDefault="002C186E" w:rsidP="002C186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By basis of exiting</w:t>
            </w:r>
          </w:p>
          <w:p w:rsidR="002C186E" w:rsidRPr="002C186E" w:rsidRDefault="002C186E" w:rsidP="002C186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Of exiters during the covered period (July 1 through June 30) who began the year in special education</w:t>
            </w:r>
          </w:p>
          <w:p w:rsidR="002C186E" w:rsidRPr="002C186E" w:rsidRDefault="002C186E" w:rsidP="002C186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At the district and state agency levels (based on the boundaries of the counting entity)</w:t>
            </w:r>
          </w:p>
          <w:p w:rsidR="002C186E" w:rsidRPr="002C186E" w:rsidRDefault="002C186E" w:rsidP="002C186E">
            <w:pPr>
              <w:numPr>
                <w:ilvl w:val="0"/>
                <w:numId w:val="26"/>
              </w:numPr>
              <w:ind w:left="360"/>
              <w:rPr>
                <w:rFonts w:asciiTheme="minorHAnsi" w:hAnsiTheme="minorHAnsi" w:cstheme="minorHAnsi"/>
                <w:color w:val="000000" w:themeColor="text1"/>
                <w:sz w:val="20"/>
                <w:shd w:val="clear" w:color="auto" w:fill="FFFFFF"/>
              </w:rPr>
            </w:pPr>
            <w:r w:rsidRPr="002C186E">
              <w:rPr>
                <w:rFonts w:asciiTheme="minorHAnsi" w:hAnsiTheme="minorHAnsi" w:cstheme="minorHAnsi"/>
                <w:color w:val="000000" w:themeColor="text1"/>
                <w:sz w:val="20"/>
                <w:shd w:val="clear" w:color="auto" w:fill="FFFFFF"/>
              </w:rPr>
              <w:t>Other  ______________________</w:t>
            </w:r>
          </w:p>
        </w:tc>
      </w:tr>
      <w:tr w:rsidR="002C186E" w:rsidRPr="002C186E" w:rsidTr="002C186E">
        <w:tc>
          <w:tcPr>
            <w:tcW w:w="10080" w:type="dxa"/>
            <w:shd w:val="clear" w:color="auto" w:fill="01579B"/>
          </w:tcPr>
          <w:p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Federal Reporting Period and Submission Dates: </w:t>
            </w:r>
            <w:r w:rsidRPr="002C186E">
              <w:rPr>
                <w:rFonts w:asciiTheme="minorHAnsi" w:hAnsiTheme="minorHAnsi" w:cstheme="minorHAnsi"/>
                <w:color w:val="FFFFFF" w:themeColor="background1"/>
                <w:sz w:val="20"/>
                <w:szCs w:val="24"/>
              </w:rPr>
              <w:t>The reporting period as defined by OSEP (i.e., snapshot of a particular day or a period of time such as school year) and final due date.</w:t>
            </w:r>
          </w:p>
        </w:tc>
      </w:tr>
      <w:tr w:rsidR="002C186E" w:rsidRPr="002C186E" w:rsidTr="002C186E">
        <w:tc>
          <w:tcPr>
            <w:tcW w:w="10080" w:type="dxa"/>
            <w:tcBorders>
              <w:bottom w:val="single" w:sz="4" w:space="0" w:color="auto"/>
            </w:tcBorders>
            <w:shd w:val="clear" w:color="auto" w:fill="auto"/>
          </w:tcPr>
          <w:p w:rsidR="002C186E" w:rsidRPr="002C186E" w:rsidRDefault="002C186E" w:rsidP="002C186E">
            <w:pPr>
              <w:rPr>
                <w:rFonts w:asciiTheme="minorHAnsi" w:hAnsiTheme="minorHAnsi" w:cstheme="minorHAnsi"/>
                <w:color w:val="000000" w:themeColor="text1"/>
                <w:sz w:val="20"/>
              </w:rPr>
            </w:pPr>
            <w:r w:rsidRPr="002C186E">
              <w:rPr>
                <w:rFonts w:asciiTheme="minorHAnsi" w:hAnsiTheme="minorHAnsi" w:cstheme="minorHAnsi"/>
                <w:b/>
                <w:color w:val="000000" w:themeColor="text1"/>
                <w:sz w:val="20"/>
              </w:rPr>
              <w:t>Reporting Period:</w:t>
            </w:r>
            <w:r w:rsidRPr="002C186E">
              <w:rPr>
                <w:rFonts w:asciiTheme="minorHAnsi" w:hAnsiTheme="minorHAnsi" w:cstheme="minorHAnsi"/>
                <w:color w:val="000000" w:themeColor="text1"/>
                <w:sz w:val="20"/>
              </w:rPr>
              <w:t xml:space="preserve"> July 1 – June 30.</w:t>
            </w:r>
          </w:p>
          <w:p w:rsidR="002C186E" w:rsidRPr="002C186E" w:rsidRDefault="002C186E" w:rsidP="002C186E">
            <w:pPr>
              <w:rPr>
                <w:rFonts w:asciiTheme="minorHAnsi" w:hAnsiTheme="minorHAnsi" w:cstheme="minorHAnsi"/>
                <w:color w:val="000000" w:themeColor="text1"/>
                <w:sz w:val="20"/>
              </w:rPr>
            </w:pPr>
            <w:r w:rsidRPr="002C186E">
              <w:rPr>
                <w:rFonts w:asciiTheme="minorHAnsi" w:hAnsiTheme="minorHAnsi" w:cstheme="minorHAnsi"/>
                <w:b/>
                <w:color w:val="000000" w:themeColor="text1"/>
                <w:sz w:val="20"/>
              </w:rPr>
              <w:t>Due Date:</w:t>
            </w:r>
            <w:r w:rsidRPr="002C186E">
              <w:rPr>
                <w:rFonts w:asciiTheme="minorHAnsi" w:hAnsiTheme="minorHAnsi" w:cstheme="minorHAnsi"/>
                <w:color w:val="000000" w:themeColor="text1"/>
                <w:sz w:val="20"/>
              </w:rPr>
              <w:t xml:space="preserve"> Due annually on the first Wednesday of November.</w:t>
            </w:r>
          </w:p>
        </w:tc>
      </w:tr>
      <w:tr w:rsidR="002C186E" w:rsidRPr="002C186E" w:rsidTr="002C186E">
        <w:tc>
          <w:tcPr>
            <w:tcW w:w="10080" w:type="dxa"/>
            <w:shd w:val="clear" w:color="auto" w:fill="01579B"/>
          </w:tcPr>
          <w:p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State Collection and Submission Schedule: </w:t>
            </w:r>
            <w:r w:rsidRPr="002C186E">
              <w:rPr>
                <w:rFonts w:asciiTheme="minorHAnsi" w:hAnsiTheme="minorHAnsi" w:cstheme="minorHAnsi"/>
                <w:color w:val="FFFFFF" w:themeColor="background1"/>
                <w:sz w:val="20"/>
                <w:szCs w:val="24"/>
              </w:rPr>
              <w:t>Provide a list of dates when the data collection period opens, when data are due to the SEA from the LEA,  and when data are pulled after the collection closes.</w:t>
            </w:r>
          </w:p>
        </w:tc>
      </w:tr>
      <w:tr w:rsidR="002C186E" w:rsidRPr="002C186E" w:rsidTr="002C186E">
        <w:tc>
          <w:tcPr>
            <w:tcW w:w="10080" w:type="dxa"/>
            <w:shd w:val="clear" w:color="auto" w:fill="auto"/>
          </w:tcPr>
          <w:p w:rsidR="002C186E" w:rsidRPr="002C186E" w:rsidRDefault="002C186E" w:rsidP="002C186E">
            <w:pPr>
              <w:rPr>
                <w:rFonts w:asciiTheme="minorHAnsi" w:hAnsiTheme="minorHAnsi" w:cstheme="minorHAnsi"/>
                <w:color w:val="000000" w:themeColor="text1"/>
                <w:sz w:val="20"/>
              </w:rPr>
            </w:pPr>
          </w:p>
        </w:tc>
      </w:tr>
    </w:tbl>
    <w:p w:rsidR="002C186E" w:rsidRPr="002C186E" w:rsidRDefault="002C186E" w:rsidP="002C186E">
      <w:pPr>
        <w:spacing w:line="240" w:lineRule="auto"/>
        <w:rPr>
          <w:rFonts w:asciiTheme="minorHAnsi" w:hAnsiTheme="minorHAnsi"/>
          <w:b/>
          <w:color w:val="199387"/>
          <w:sz w:val="40"/>
          <w:szCs w:val="40"/>
        </w:rPr>
      </w:pPr>
      <w:r w:rsidRPr="002C186E">
        <w:rPr>
          <w:rFonts w:asciiTheme="minorHAnsi" w:hAnsiTheme="minorHAnsi"/>
        </w:rPr>
        <w:br w:type="page"/>
      </w:r>
    </w:p>
    <w:p w:rsidR="002C186E" w:rsidRPr="002C186E" w:rsidRDefault="002C186E" w:rsidP="002C186E">
      <w:pPr>
        <w:keepNext/>
        <w:spacing w:after="240" w:line="240" w:lineRule="auto"/>
        <w:jc w:val="center"/>
        <w:outlineLvl w:val="0"/>
        <w:rPr>
          <w:rFonts w:asciiTheme="minorHAnsi" w:hAnsiTheme="minorHAnsi"/>
          <w:b/>
          <w:color w:val="199387"/>
          <w:sz w:val="40"/>
          <w:szCs w:val="40"/>
        </w:rPr>
      </w:pPr>
      <w:r w:rsidRPr="002C186E">
        <w:rPr>
          <w:rFonts w:asciiTheme="minorHAnsi" w:hAnsiTheme="minorHAnsi"/>
          <w:b/>
          <w:color w:val="199387"/>
          <w:sz w:val="40"/>
          <w:szCs w:val="40"/>
        </w:rPr>
        <w:lastRenderedPageBreak/>
        <w:t>Processes</w:t>
      </w:r>
    </w:p>
    <w:tbl>
      <w:tblPr>
        <w:tblStyle w:val="TableGrid"/>
        <w:tblW w:w="4888" w:type="pct"/>
        <w:tblInd w:w="115" w:type="dxa"/>
        <w:tblCellMar>
          <w:top w:w="115" w:type="dxa"/>
          <w:left w:w="115" w:type="dxa"/>
          <w:bottom w:w="115" w:type="dxa"/>
          <w:right w:w="115" w:type="dxa"/>
        </w:tblCellMar>
        <w:tblLook w:val="04A0" w:firstRow="1" w:lastRow="0" w:firstColumn="1" w:lastColumn="0" w:noHBand="0" w:noVBand="1"/>
      </w:tblPr>
      <w:tblGrid>
        <w:gridCol w:w="10079"/>
      </w:tblGrid>
      <w:tr w:rsidR="002C186E" w:rsidRPr="002C186E" w:rsidTr="002C186E">
        <w:tc>
          <w:tcPr>
            <w:tcW w:w="5000" w:type="pct"/>
            <w:shd w:val="clear" w:color="auto" w:fill="01579B"/>
          </w:tcPr>
          <w:p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Collection: </w:t>
            </w:r>
            <w:r w:rsidRPr="002C186E">
              <w:rPr>
                <w:rFonts w:asciiTheme="minorHAnsi" w:hAnsiTheme="minorHAnsi" w:cstheme="minorHAnsi"/>
                <w:color w:val="FFFFFF" w:themeColor="background1"/>
                <w:sz w:val="20"/>
                <w:szCs w:val="24"/>
              </w:rPr>
              <w:t>Provide detailed information about how data are pulled from database, how LEAs submit data to the state, etc.</w:t>
            </w:r>
          </w:p>
        </w:tc>
      </w:tr>
      <w:tr w:rsidR="002C186E" w:rsidRPr="002C186E" w:rsidTr="002C186E">
        <w:tc>
          <w:tcPr>
            <w:tcW w:w="5000" w:type="pct"/>
            <w:tcBorders>
              <w:bottom w:val="single" w:sz="4" w:space="0" w:color="auto"/>
            </w:tcBorders>
          </w:tcPr>
          <w:p w:rsidR="002C186E" w:rsidRPr="002C186E" w:rsidRDefault="002C186E" w:rsidP="002C186E">
            <w:pPr>
              <w:rPr>
                <w:rFonts w:asciiTheme="minorHAnsi" w:hAnsiTheme="minorHAnsi" w:cstheme="minorHAnsi"/>
                <w:color w:val="000000" w:themeColor="text1"/>
                <w:sz w:val="20"/>
              </w:rPr>
            </w:pPr>
          </w:p>
        </w:tc>
      </w:tr>
      <w:tr w:rsidR="002C186E" w:rsidRPr="002C186E" w:rsidTr="002C186E">
        <w:tc>
          <w:tcPr>
            <w:tcW w:w="5000" w:type="pct"/>
            <w:shd w:val="clear" w:color="auto" w:fill="01579B"/>
          </w:tcPr>
          <w:p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SSS-IDEA Considerations:</w:t>
            </w:r>
            <w:r w:rsidRPr="002C186E">
              <w:rPr>
                <w:rFonts w:asciiTheme="minorHAnsi" w:hAnsiTheme="minorHAnsi" w:cstheme="minorHAnsi"/>
                <w:b/>
                <w:color w:val="FFFFFF" w:themeColor="background1"/>
                <w:sz w:val="20"/>
                <w:vertAlign w:val="superscript"/>
              </w:rPr>
              <w:footnoteReference w:id="1"/>
            </w:r>
            <w:r w:rsidRPr="002C186E">
              <w:rPr>
                <w:rFonts w:asciiTheme="minorHAnsi" w:hAnsiTheme="minorHAnsi" w:cstheme="minorHAnsi"/>
                <w:b/>
                <w:color w:val="FFFFFF" w:themeColor="background1"/>
                <w:sz w:val="20"/>
                <w:szCs w:val="24"/>
              </w:rPr>
              <w:t xml:space="preserve"> </w:t>
            </w:r>
            <w:r w:rsidRPr="002C186E">
              <w:rPr>
                <w:rFonts w:asciiTheme="minorHAnsi" w:hAnsiTheme="minorHAnsi" w:cstheme="minorHAnsi"/>
                <w:color w:val="FFFFFF" w:themeColor="background1"/>
                <w:sz w:val="20"/>
                <w:szCs w:val="24"/>
              </w:rPr>
              <w:t>Verify that data are consistent with responses in SSS-IDEA. Describe state definitions for relevant SSS-IDEA questions.</w:t>
            </w:r>
          </w:p>
        </w:tc>
      </w:tr>
      <w:tr w:rsidR="002C186E" w:rsidRPr="002C186E" w:rsidTr="002C186E">
        <w:tc>
          <w:tcPr>
            <w:tcW w:w="5000" w:type="pct"/>
            <w:tcBorders>
              <w:bottom w:val="single" w:sz="4" w:space="0" w:color="auto"/>
            </w:tcBorders>
          </w:tcPr>
          <w:p w:rsidR="002C186E" w:rsidRPr="002C186E" w:rsidRDefault="002C186E" w:rsidP="002C186E">
            <w:pPr>
              <w:rPr>
                <w:rFonts w:asciiTheme="minorHAnsi" w:hAnsiTheme="minorHAnsi" w:cstheme="minorHAnsi"/>
                <w:color w:val="000000" w:themeColor="text1"/>
                <w:sz w:val="20"/>
              </w:rPr>
            </w:pPr>
          </w:p>
        </w:tc>
      </w:tr>
      <w:tr w:rsidR="002C186E" w:rsidRPr="002C186E" w:rsidTr="002C186E">
        <w:tc>
          <w:tcPr>
            <w:tcW w:w="5000" w:type="pct"/>
            <w:shd w:val="clear" w:color="auto" w:fill="01579B"/>
          </w:tcPr>
          <w:p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Data Validation:</w:t>
            </w:r>
            <w:r w:rsidRPr="002C186E">
              <w:rPr>
                <w:rFonts w:asciiTheme="minorHAnsi" w:hAnsiTheme="minorHAnsi" w:cstheme="minorHAnsi"/>
                <w:b/>
                <w:color w:val="FFFFFF" w:themeColor="background1"/>
                <w:sz w:val="20"/>
                <w:szCs w:val="24"/>
                <w:vertAlign w:val="superscript"/>
              </w:rPr>
              <w:t xml:space="preserve"> </w:t>
            </w:r>
            <w:r w:rsidRPr="002C186E">
              <w:rPr>
                <w:rFonts w:asciiTheme="minorHAnsi" w:hAnsiTheme="minorHAnsi" w:cstheme="minorHAnsi"/>
                <w:b/>
                <w:color w:val="FFFFFF" w:themeColor="background1"/>
                <w:sz w:val="20"/>
                <w:vertAlign w:val="superscript"/>
              </w:rPr>
              <w:footnoteReference w:id="2"/>
            </w:r>
            <w:r w:rsidRPr="002C186E">
              <w:rPr>
                <w:rFonts w:asciiTheme="minorHAnsi" w:hAnsiTheme="minorHAnsi" w:cstheme="minorHAnsi"/>
                <w:b/>
                <w:color w:val="FFFFFF" w:themeColor="background1"/>
                <w:sz w:val="20"/>
                <w:szCs w:val="24"/>
                <w:vertAlign w:val="superscript"/>
              </w:rPr>
              <w:t xml:space="preserve"> </w:t>
            </w:r>
            <w:r w:rsidRPr="002C186E">
              <w:rPr>
                <w:rFonts w:asciiTheme="minorHAnsi" w:hAnsiTheme="minorHAnsi" w:cstheme="minorHAnsi"/>
                <w:color w:val="FFFFFF" w:themeColor="background1"/>
                <w:sz w:val="20"/>
                <w:szCs w:val="24"/>
              </w:rPr>
              <w:t>Describe the data cleaning processes used to prepare these data for submission.</w:t>
            </w:r>
            <w:r w:rsidRPr="002C186E">
              <w:rPr>
                <w:rFonts w:asciiTheme="minorHAnsi" w:hAnsiTheme="minorHAnsi" w:cstheme="minorHAnsi"/>
                <w:b/>
                <w:color w:val="FFFFFF" w:themeColor="background1"/>
                <w:sz w:val="20"/>
                <w:szCs w:val="24"/>
              </w:rPr>
              <w:t xml:space="preserve"> </w:t>
            </w:r>
          </w:p>
        </w:tc>
      </w:tr>
      <w:tr w:rsidR="002C186E" w:rsidRPr="002C186E" w:rsidTr="002C186E">
        <w:tc>
          <w:tcPr>
            <w:tcW w:w="5000" w:type="pct"/>
            <w:tcBorders>
              <w:bottom w:val="single" w:sz="4" w:space="0" w:color="auto"/>
            </w:tcBorders>
          </w:tcPr>
          <w:p w:rsidR="002C186E" w:rsidRPr="002C186E" w:rsidRDefault="002C186E" w:rsidP="002C186E">
            <w:pPr>
              <w:rPr>
                <w:rFonts w:asciiTheme="minorHAnsi" w:hAnsiTheme="minorHAnsi" w:cstheme="minorHAnsi"/>
                <w:color w:val="000000" w:themeColor="text1"/>
                <w:sz w:val="20"/>
              </w:rPr>
            </w:pPr>
          </w:p>
        </w:tc>
      </w:tr>
      <w:tr w:rsidR="002C186E" w:rsidRPr="002C186E" w:rsidTr="002C186E">
        <w:tc>
          <w:tcPr>
            <w:tcW w:w="5000" w:type="pct"/>
            <w:shd w:val="clear" w:color="auto" w:fill="01579B"/>
          </w:tcPr>
          <w:p w:rsidR="002C186E" w:rsidRPr="002C186E" w:rsidRDefault="002C186E" w:rsidP="002C186E">
            <w:pPr>
              <w:spacing w:after="18" w:line="280" w:lineRule="atLeast"/>
              <w:rPr>
                <w:rFonts w:asciiTheme="minorHAnsi" w:hAnsiTheme="minorHAnsi" w:cstheme="minorHAnsi"/>
                <w:b/>
                <w:i/>
                <w:color w:val="FFFFFF" w:themeColor="background1"/>
                <w:sz w:val="20"/>
                <w:szCs w:val="24"/>
              </w:rPr>
            </w:pPr>
            <w:r w:rsidRPr="002C186E">
              <w:rPr>
                <w:rFonts w:asciiTheme="minorHAnsi" w:hAnsiTheme="minorHAnsi" w:cstheme="minorHAnsi"/>
                <w:b/>
                <w:color w:val="FFFFFF" w:themeColor="background1"/>
                <w:sz w:val="20"/>
                <w:szCs w:val="24"/>
              </w:rPr>
              <w:t xml:space="preserve">Internal Approval Process: </w:t>
            </w:r>
            <w:r w:rsidRPr="002C186E">
              <w:rPr>
                <w:rFonts w:asciiTheme="minorHAnsi" w:hAnsiTheme="minorHAnsi" w:cstheme="minorHAnsi"/>
                <w:color w:val="FFFFFF" w:themeColor="background1"/>
                <w:sz w:val="20"/>
                <w:szCs w:val="24"/>
              </w:rPr>
              <w:t>Describe any internal approval processes (e.g., who must sign off and timelines).</w:t>
            </w:r>
            <w:r w:rsidRPr="002C186E">
              <w:rPr>
                <w:rFonts w:asciiTheme="minorHAnsi" w:hAnsiTheme="minorHAnsi" w:cstheme="minorHAnsi"/>
                <w:b/>
                <w:i/>
                <w:color w:val="FFFFFF" w:themeColor="background1"/>
                <w:sz w:val="20"/>
                <w:szCs w:val="24"/>
              </w:rPr>
              <w:t xml:space="preserve"> </w:t>
            </w:r>
          </w:p>
        </w:tc>
      </w:tr>
      <w:tr w:rsidR="002C186E" w:rsidRPr="002C186E" w:rsidTr="002C186E">
        <w:trPr>
          <w:trHeight w:val="442"/>
        </w:trPr>
        <w:tc>
          <w:tcPr>
            <w:tcW w:w="5000" w:type="pct"/>
            <w:tcBorders>
              <w:bottom w:val="single" w:sz="4" w:space="0" w:color="auto"/>
            </w:tcBorders>
          </w:tcPr>
          <w:p w:rsidR="002C186E" w:rsidRPr="002C186E" w:rsidRDefault="002C186E" w:rsidP="002C186E">
            <w:pPr>
              <w:rPr>
                <w:rFonts w:asciiTheme="minorHAnsi" w:hAnsiTheme="minorHAnsi" w:cstheme="minorHAnsi"/>
                <w:color w:val="000000" w:themeColor="text1"/>
                <w:sz w:val="20"/>
              </w:rPr>
            </w:pPr>
          </w:p>
        </w:tc>
      </w:tr>
      <w:tr w:rsidR="002C186E" w:rsidRPr="002C186E" w:rsidTr="002C186E">
        <w:tc>
          <w:tcPr>
            <w:tcW w:w="5000" w:type="pct"/>
            <w:shd w:val="clear" w:color="auto" w:fill="01579B"/>
          </w:tcPr>
          <w:p w:rsidR="002C186E" w:rsidRPr="002C186E" w:rsidRDefault="002C186E" w:rsidP="002C186E">
            <w:pPr>
              <w:pageBreakBefore/>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lastRenderedPageBreak/>
              <w:t>Submission:</w:t>
            </w:r>
            <w:r w:rsidRPr="002C186E">
              <w:rPr>
                <w:rFonts w:asciiTheme="minorHAnsi" w:hAnsiTheme="minorHAnsi" w:cstheme="minorHAnsi"/>
                <w:b/>
                <w:color w:val="FFFFFF" w:themeColor="background1"/>
                <w:sz w:val="20"/>
                <w:vertAlign w:val="superscript"/>
              </w:rPr>
              <w:footnoteReference w:id="3"/>
            </w:r>
            <w:r w:rsidRPr="002C186E">
              <w:rPr>
                <w:rFonts w:asciiTheme="minorHAnsi" w:hAnsiTheme="minorHAnsi" w:cstheme="minorHAnsi"/>
                <w:b/>
                <w:color w:val="FFFFFF" w:themeColor="background1"/>
                <w:sz w:val="20"/>
                <w:szCs w:val="24"/>
              </w:rPr>
              <w:t xml:space="preserve"> </w:t>
            </w:r>
            <w:r w:rsidRPr="002C186E">
              <w:rPr>
                <w:rFonts w:asciiTheme="minorHAnsi" w:hAnsiTheme="minorHAnsi" w:cstheme="minorHAnsi"/>
                <w:color w:val="FFFFFF" w:themeColor="background1"/>
                <w:sz w:val="20"/>
                <w:szCs w:val="24"/>
              </w:rPr>
              <w:t>Describe process for  generating and submitting each ED</w:t>
            </w:r>
            <w:r w:rsidRPr="002C186E">
              <w:rPr>
                <w:rFonts w:asciiTheme="minorHAnsi" w:hAnsiTheme="minorHAnsi" w:cstheme="minorHAnsi"/>
                <w:i/>
                <w:color w:val="FFFFFF" w:themeColor="background1"/>
                <w:sz w:val="20"/>
                <w:szCs w:val="24"/>
              </w:rPr>
              <w:t xml:space="preserve">Facts </w:t>
            </w:r>
            <w:r w:rsidRPr="002C186E">
              <w:rPr>
                <w:rFonts w:asciiTheme="minorHAnsi" w:hAnsiTheme="minorHAnsi" w:cstheme="minorHAnsi"/>
                <w:color w:val="FFFFFF" w:themeColor="background1"/>
                <w:sz w:val="20"/>
                <w:szCs w:val="24"/>
              </w:rPr>
              <w:t xml:space="preserve">file listed above. </w:t>
            </w:r>
          </w:p>
        </w:tc>
      </w:tr>
      <w:tr w:rsidR="002C186E" w:rsidRPr="002C186E" w:rsidTr="002C186E">
        <w:tc>
          <w:tcPr>
            <w:tcW w:w="5000" w:type="pct"/>
            <w:tcBorders>
              <w:bottom w:val="single" w:sz="4" w:space="0" w:color="auto"/>
            </w:tcBorders>
          </w:tcPr>
          <w:p w:rsidR="002C186E" w:rsidRPr="002C186E" w:rsidRDefault="002C186E" w:rsidP="002C186E">
            <w:pPr>
              <w:rPr>
                <w:rFonts w:asciiTheme="minorHAnsi" w:hAnsiTheme="minorHAnsi" w:cstheme="minorHAnsi"/>
                <w:color w:val="000000" w:themeColor="text1"/>
                <w:sz w:val="20"/>
              </w:rPr>
            </w:pPr>
          </w:p>
        </w:tc>
      </w:tr>
      <w:tr w:rsidR="002C186E" w:rsidRPr="002C186E" w:rsidTr="002C186E">
        <w:tc>
          <w:tcPr>
            <w:tcW w:w="5000" w:type="pct"/>
            <w:shd w:val="clear" w:color="auto" w:fill="01579B"/>
          </w:tcPr>
          <w:p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Response to OSEP Data Quality Report:</w:t>
            </w:r>
            <w:r w:rsidRPr="002C186E">
              <w:rPr>
                <w:rFonts w:asciiTheme="minorHAnsi" w:hAnsiTheme="minorHAnsi" w:cstheme="minorHAnsi"/>
                <w:b/>
                <w:color w:val="FFFFFF" w:themeColor="background1"/>
                <w:sz w:val="20"/>
                <w:vertAlign w:val="superscript"/>
              </w:rPr>
              <w:footnoteReference w:id="4"/>
            </w:r>
            <w:r w:rsidRPr="002C186E">
              <w:rPr>
                <w:rFonts w:asciiTheme="minorHAnsi" w:hAnsiTheme="minorHAnsi" w:cstheme="minorHAnsi"/>
                <w:b/>
                <w:color w:val="FFFFFF" w:themeColor="background1"/>
                <w:sz w:val="20"/>
                <w:szCs w:val="24"/>
              </w:rPr>
              <w:t xml:space="preserve"> </w:t>
            </w:r>
            <w:r w:rsidRPr="002C186E">
              <w:rPr>
                <w:rFonts w:asciiTheme="minorHAnsi" w:hAnsiTheme="minorHAnsi" w:cstheme="minorHAnsi"/>
                <w:color w:val="FFFFFF" w:themeColor="background1"/>
                <w:sz w:val="20"/>
                <w:szCs w:val="24"/>
              </w:rPr>
              <w:t>Describe the procedures for reviewing OSEP feedback and submitting a data note or resubmitting data files.</w:t>
            </w:r>
          </w:p>
        </w:tc>
      </w:tr>
      <w:tr w:rsidR="002C186E" w:rsidRPr="002C186E" w:rsidTr="002C186E">
        <w:tc>
          <w:tcPr>
            <w:tcW w:w="5000" w:type="pct"/>
            <w:tcBorders>
              <w:bottom w:val="single" w:sz="4" w:space="0" w:color="auto"/>
            </w:tcBorders>
          </w:tcPr>
          <w:p w:rsidR="002C186E" w:rsidRPr="002C186E" w:rsidRDefault="002C186E" w:rsidP="002C186E">
            <w:pPr>
              <w:rPr>
                <w:rFonts w:asciiTheme="minorHAnsi" w:hAnsiTheme="minorHAnsi" w:cstheme="minorHAnsi"/>
                <w:color w:val="000000" w:themeColor="text1"/>
                <w:sz w:val="20"/>
              </w:rPr>
            </w:pPr>
          </w:p>
        </w:tc>
      </w:tr>
      <w:tr w:rsidR="002C186E" w:rsidRPr="002C186E" w:rsidTr="002C186E">
        <w:tc>
          <w:tcPr>
            <w:tcW w:w="5000" w:type="pct"/>
            <w:shd w:val="clear" w:color="auto" w:fill="01579B"/>
          </w:tcPr>
          <w:p w:rsidR="002C186E" w:rsidRPr="002C186E" w:rsidRDefault="002C186E" w:rsidP="002C186E">
            <w:pPr>
              <w:spacing w:after="18" w:line="280" w:lineRule="atLeast"/>
              <w:rPr>
                <w:rFonts w:asciiTheme="minorHAnsi" w:hAnsiTheme="minorHAnsi" w:cstheme="minorHAnsi"/>
                <w:b/>
                <w:color w:val="FFFFFF" w:themeColor="background1"/>
                <w:sz w:val="20"/>
                <w:szCs w:val="24"/>
              </w:rPr>
            </w:pPr>
            <w:r w:rsidRPr="002C186E">
              <w:rPr>
                <w:rFonts w:asciiTheme="minorHAnsi" w:hAnsiTheme="minorHAnsi" w:cstheme="minorHAnsi"/>
                <w:b/>
                <w:color w:val="FFFFFF" w:themeColor="background1"/>
                <w:sz w:val="20"/>
                <w:szCs w:val="24"/>
              </w:rPr>
              <w:t xml:space="preserve">Data Governance: </w:t>
            </w:r>
            <w:r w:rsidRPr="002C186E">
              <w:rPr>
                <w:rFonts w:asciiTheme="minorHAnsi" w:hAnsiTheme="minorHAnsi" w:cstheme="minorHAnsi"/>
                <w:color w:val="FFFFFF" w:themeColor="background1"/>
                <w:sz w:val="20"/>
                <w:szCs w:val="24"/>
              </w:rPr>
              <w:t>Describe the process for reviewing potential or actual future changes to the data collection and associated requirements.</w:t>
            </w:r>
            <w:r w:rsidRPr="002C186E">
              <w:rPr>
                <w:rFonts w:asciiTheme="minorHAnsi" w:hAnsiTheme="minorHAnsi" w:cstheme="minorHAnsi"/>
                <w:b/>
                <w:color w:val="FFFFFF" w:themeColor="background1"/>
                <w:sz w:val="20"/>
                <w:szCs w:val="24"/>
              </w:rPr>
              <w:t xml:space="preserve"> </w:t>
            </w:r>
          </w:p>
        </w:tc>
      </w:tr>
      <w:tr w:rsidR="002C186E" w:rsidRPr="002C186E" w:rsidTr="002C186E">
        <w:tc>
          <w:tcPr>
            <w:tcW w:w="5000" w:type="pct"/>
          </w:tcPr>
          <w:p w:rsidR="002C186E" w:rsidRPr="002C186E" w:rsidRDefault="002C186E" w:rsidP="002C186E">
            <w:pPr>
              <w:rPr>
                <w:rFonts w:asciiTheme="minorHAnsi" w:hAnsiTheme="minorHAnsi" w:cstheme="minorHAnsi"/>
                <w:color w:val="000000" w:themeColor="text1"/>
                <w:sz w:val="20"/>
              </w:rPr>
            </w:pPr>
          </w:p>
        </w:tc>
      </w:tr>
      <w:tr w:rsidR="002C186E" w:rsidRPr="002C186E" w:rsidTr="002C186E">
        <w:tc>
          <w:tcPr>
            <w:tcW w:w="5000" w:type="pct"/>
            <w:tcBorders>
              <w:top w:val="single" w:sz="4" w:space="0" w:color="auto"/>
              <w:left w:val="single" w:sz="4" w:space="0" w:color="auto"/>
              <w:bottom w:val="single" w:sz="4" w:space="0" w:color="auto"/>
              <w:right w:val="single" w:sz="4" w:space="0" w:color="auto"/>
            </w:tcBorders>
            <w:shd w:val="clear" w:color="auto" w:fill="01579B"/>
          </w:tcPr>
          <w:p w:rsidR="002C186E" w:rsidRPr="002C186E" w:rsidRDefault="002C186E" w:rsidP="002C186E">
            <w:pPr>
              <w:rPr>
                <w:rFonts w:asciiTheme="minorHAnsi" w:hAnsiTheme="minorHAnsi" w:cstheme="minorHAnsi"/>
                <w:color w:val="FFFFFF" w:themeColor="background1"/>
                <w:sz w:val="20"/>
              </w:rPr>
            </w:pPr>
            <w:r w:rsidRPr="002C186E">
              <w:rPr>
                <w:rFonts w:asciiTheme="minorHAnsi" w:hAnsiTheme="minorHAnsi" w:cstheme="minorHAnsi"/>
                <w:b/>
                <w:color w:val="FFFFFF" w:themeColor="background1"/>
                <w:sz w:val="20"/>
              </w:rPr>
              <w:t>Public Reporting:</w:t>
            </w:r>
            <w:r w:rsidRPr="002C186E">
              <w:rPr>
                <w:rFonts w:asciiTheme="minorHAnsi" w:hAnsiTheme="minorHAnsi" w:cstheme="minorHAnsi"/>
                <w:color w:val="FFFFFF" w:themeColor="background1"/>
                <w:sz w:val="20"/>
              </w:rPr>
              <w:t xml:space="preserve"> Describe the process and location for posting state level data for public reporting. </w:t>
            </w:r>
          </w:p>
        </w:tc>
      </w:tr>
      <w:tr w:rsidR="002C186E" w:rsidRPr="002C186E" w:rsidTr="002C186E">
        <w:tc>
          <w:tcPr>
            <w:tcW w:w="5000" w:type="pct"/>
            <w:tcBorders>
              <w:top w:val="single" w:sz="4" w:space="0" w:color="auto"/>
              <w:left w:val="single" w:sz="4" w:space="0" w:color="auto"/>
              <w:bottom w:val="single" w:sz="4" w:space="0" w:color="auto"/>
              <w:right w:val="single" w:sz="4" w:space="0" w:color="auto"/>
            </w:tcBorders>
            <w:shd w:val="clear" w:color="auto" w:fill="auto"/>
          </w:tcPr>
          <w:p w:rsidR="002C186E" w:rsidRPr="002C186E" w:rsidRDefault="002C186E" w:rsidP="002C186E">
            <w:pPr>
              <w:rPr>
                <w:rFonts w:asciiTheme="minorHAnsi" w:hAnsiTheme="minorHAnsi" w:cstheme="minorHAnsi"/>
                <w:color w:val="000000" w:themeColor="text1"/>
                <w:sz w:val="20"/>
              </w:rPr>
            </w:pPr>
          </w:p>
        </w:tc>
      </w:tr>
    </w:tbl>
    <w:p w:rsidR="002C186E" w:rsidRPr="002C186E" w:rsidRDefault="002C186E" w:rsidP="002C186E">
      <w:pPr>
        <w:contextualSpacing/>
        <w:rPr>
          <w:rFonts w:asciiTheme="minorHAnsi" w:hAnsiTheme="minorHAnsi" w:cs="Helvetica"/>
          <w:color w:val="262626" w:themeColor="text1" w:themeTint="D9"/>
          <w:sz w:val="20"/>
          <w:shd w:val="clear" w:color="auto" w:fill="FFFFFF"/>
        </w:rPr>
      </w:pPr>
    </w:p>
    <w:p w:rsidR="00A668DB" w:rsidRPr="00A668DB" w:rsidRDefault="00A668DB" w:rsidP="00A668DB"/>
    <w:sectPr w:rsidR="00A668DB" w:rsidRPr="00A668DB" w:rsidSect="001D0B65">
      <w:headerReference w:type="default" r:id="rId8"/>
      <w:footerReference w:type="default" r:id="rId9"/>
      <w:headerReference w:type="first" r:id="rId10"/>
      <w:footerReference w:type="first" r:id="rId11"/>
      <w:pgSz w:w="12240" w:h="15840"/>
      <w:pgMar w:top="1440" w:right="1080" w:bottom="1440" w:left="108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6E" w:rsidRDefault="002C186E">
      <w:pPr>
        <w:spacing w:line="240" w:lineRule="auto"/>
      </w:pPr>
      <w:r>
        <w:separator/>
      </w:r>
    </w:p>
  </w:endnote>
  <w:endnote w:type="continuationSeparator" w:id="0">
    <w:p w:rsidR="002C186E" w:rsidRDefault="002C1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65" w:rsidRPr="002C186E" w:rsidRDefault="00077601" w:rsidP="002C186E">
    <w:pPr>
      <w:pStyle w:val="Footer"/>
      <w:tabs>
        <w:tab w:val="right" w:pos="10080"/>
        <w:tab w:val="right" w:pos="10800"/>
      </w:tabs>
      <w:spacing w:line="280" w:lineRule="atLeast"/>
      <w:ind w:right="360"/>
      <w:rPr>
        <w:rFonts w:asciiTheme="minorHAnsi" w:hAnsiTheme="minorHAnsi" w:cstheme="minorHAnsi"/>
        <w:color w:val="000000" w:themeColor="text1"/>
        <w:sz w:val="20"/>
      </w:rPr>
    </w:pPr>
    <w:hyperlink r:id="rId1" w:tooltip="IDEA Data Center website" w:history="1">
      <w:r w:rsidR="002C186E" w:rsidRPr="002C186E">
        <w:rPr>
          <w:rFonts w:asciiTheme="minorHAnsi" w:hAnsiTheme="minorHAnsi" w:cstheme="minorHAnsi"/>
          <w:color w:val="000000" w:themeColor="text1"/>
          <w:sz w:val="20"/>
        </w:rPr>
        <w:t>www.ideadata.org</w:t>
      </w:r>
    </w:hyperlink>
    <w:r w:rsidR="002C186E" w:rsidRPr="002C186E">
      <w:rPr>
        <w:rFonts w:asciiTheme="minorHAnsi" w:hAnsiTheme="minorHAnsi" w:cstheme="minorHAnsi"/>
        <w:color w:val="000000" w:themeColor="text1"/>
        <w:sz w:val="20"/>
      </w:rPr>
      <w:tab/>
    </w:r>
    <w:r w:rsidR="002C186E" w:rsidRPr="002C186E">
      <w:rPr>
        <w:rFonts w:asciiTheme="minorHAnsi" w:hAnsiTheme="minorHAnsi" w:cstheme="minorHAnsi"/>
        <w:color w:val="000000" w:themeColor="text1"/>
        <w:sz w:val="20"/>
      </w:rPr>
      <w:fldChar w:fldCharType="begin"/>
    </w:r>
    <w:r w:rsidR="002C186E" w:rsidRPr="002C186E">
      <w:rPr>
        <w:rFonts w:asciiTheme="minorHAnsi" w:hAnsiTheme="minorHAnsi" w:cstheme="minorHAnsi"/>
        <w:color w:val="000000" w:themeColor="text1"/>
        <w:sz w:val="20"/>
      </w:rPr>
      <w:instrText xml:space="preserve"> PAGE   \* MERGEFORMAT </w:instrText>
    </w:r>
    <w:r w:rsidR="002C186E" w:rsidRPr="002C186E">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2C186E" w:rsidRPr="002C186E">
      <w:rPr>
        <w:rFonts w:asciiTheme="minorHAnsi" w:hAnsiTheme="minorHAnsi" w:cstheme="minorHAnsi"/>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65" w:rsidRPr="002C186E" w:rsidRDefault="00077601" w:rsidP="002C186E">
    <w:pPr>
      <w:pStyle w:val="Footer"/>
      <w:tabs>
        <w:tab w:val="right" w:pos="10080"/>
        <w:tab w:val="right" w:pos="10800"/>
      </w:tabs>
      <w:spacing w:line="280" w:lineRule="atLeast"/>
      <w:ind w:right="360"/>
      <w:rPr>
        <w:rFonts w:asciiTheme="minorHAnsi" w:hAnsiTheme="minorHAnsi" w:cstheme="minorHAnsi"/>
        <w:color w:val="000000" w:themeColor="text1"/>
        <w:sz w:val="20"/>
      </w:rPr>
    </w:pPr>
    <w:hyperlink r:id="rId1" w:tooltip="IDEA Data Center website" w:history="1">
      <w:r w:rsidR="002C186E" w:rsidRPr="002C186E">
        <w:rPr>
          <w:rFonts w:asciiTheme="minorHAnsi" w:hAnsiTheme="minorHAnsi" w:cstheme="minorHAnsi"/>
          <w:color w:val="000000" w:themeColor="text1"/>
          <w:sz w:val="20"/>
        </w:rPr>
        <w:t>www.ideadata.org</w:t>
      </w:r>
    </w:hyperlink>
    <w:r w:rsidR="002C186E" w:rsidRPr="002C186E">
      <w:rPr>
        <w:rFonts w:asciiTheme="minorHAnsi" w:hAnsiTheme="minorHAnsi" w:cstheme="minorHAnsi"/>
        <w:color w:val="000000" w:themeColor="text1"/>
        <w:sz w:val="20"/>
      </w:rPr>
      <w:tab/>
    </w:r>
    <w:r w:rsidR="002C186E" w:rsidRPr="002C186E">
      <w:rPr>
        <w:rFonts w:asciiTheme="minorHAnsi" w:hAnsiTheme="minorHAnsi" w:cstheme="minorHAnsi"/>
        <w:color w:val="000000" w:themeColor="text1"/>
        <w:sz w:val="20"/>
      </w:rPr>
      <w:fldChar w:fldCharType="begin"/>
    </w:r>
    <w:r w:rsidR="002C186E" w:rsidRPr="002C186E">
      <w:rPr>
        <w:rFonts w:asciiTheme="minorHAnsi" w:hAnsiTheme="minorHAnsi" w:cstheme="minorHAnsi"/>
        <w:color w:val="000000" w:themeColor="text1"/>
        <w:sz w:val="20"/>
      </w:rPr>
      <w:instrText xml:space="preserve"> PAGE   \* MERGEFORMAT </w:instrText>
    </w:r>
    <w:r w:rsidR="002C186E" w:rsidRPr="002C186E">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002C186E" w:rsidRPr="002C186E">
      <w:rPr>
        <w:rFonts w:asciiTheme="minorHAnsi" w:hAnsiTheme="minorHAnsi" w:cstheme="minorHAnsi"/>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6E" w:rsidRDefault="002C186E">
      <w:pPr>
        <w:spacing w:line="240" w:lineRule="auto"/>
      </w:pPr>
      <w:r>
        <w:separator/>
      </w:r>
    </w:p>
  </w:footnote>
  <w:footnote w:type="continuationSeparator" w:id="0">
    <w:p w:rsidR="002C186E" w:rsidRDefault="002C186E">
      <w:pPr>
        <w:spacing w:line="240" w:lineRule="auto"/>
      </w:pPr>
      <w:r>
        <w:continuationSeparator/>
      </w:r>
    </w:p>
  </w:footnote>
  <w:footnote w:id="1">
    <w:p w:rsidR="002C186E" w:rsidRPr="002C186E" w:rsidRDefault="002C186E" w:rsidP="002C186E">
      <w:pPr>
        <w:pStyle w:val="FootnoteText"/>
        <w:spacing w:before="0" w:after="80"/>
        <w:rPr>
          <w:rFonts w:ascii="Calibri" w:hAnsi="Calibri" w:cs="Calibri"/>
          <w:color w:val="000000" w:themeColor="text1"/>
          <w:sz w:val="18"/>
          <w:szCs w:val="18"/>
        </w:rPr>
      </w:pPr>
      <w:r w:rsidRPr="002C186E">
        <w:rPr>
          <w:rStyle w:val="FootnoteReference"/>
          <w:rFonts w:ascii="Calibri" w:hAnsi="Calibri" w:cs="Calibri"/>
          <w:color w:val="000000" w:themeColor="text1"/>
          <w:sz w:val="18"/>
          <w:szCs w:val="18"/>
        </w:rPr>
        <w:footnoteRef/>
      </w:r>
      <w:r w:rsidRPr="002C186E">
        <w:rPr>
          <w:rFonts w:ascii="Calibri" w:hAnsi="Calibri" w:cs="Calibri"/>
          <w:b/>
          <w:color w:val="000000" w:themeColor="text1"/>
          <w:sz w:val="18"/>
          <w:szCs w:val="18"/>
        </w:rPr>
        <w:tab/>
        <w:t>SSS-IDEA Considerations—</w:t>
      </w:r>
      <w:r w:rsidRPr="002C186E">
        <w:rPr>
          <w:rFonts w:ascii="Calibri" w:hAnsi="Calibri" w:cs="Calibri"/>
          <w:color w:val="000000" w:themeColor="text1"/>
          <w:sz w:val="18"/>
          <w:szCs w:val="18"/>
        </w:rPr>
        <w:t>The</w:t>
      </w:r>
      <w:r w:rsidRPr="002C186E">
        <w:rPr>
          <w:rFonts w:ascii="Calibri" w:hAnsi="Calibri" w:cs="Calibri"/>
          <w:i/>
          <w:color w:val="000000" w:themeColor="text1"/>
          <w:sz w:val="18"/>
          <w:szCs w:val="18"/>
        </w:rPr>
        <w:t xml:space="preserve"> </w:t>
      </w:r>
      <w:r w:rsidRPr="002C186E">
        <w:rPr>
          <w:rFonts w:ascii="Calibri" w:hAnsi="Calibri" w:cs="Calibri"/>
          <w:color w:val="000000" w:themeColor="text1"/>
          <w:sz w:val="18"/>
          <w:szCs w:val="18"/>
        </w:rPr>
        <w:t>IDEA State Supplemental Survey (SSS-IDEA) collects metadata related to the IDEA 618 data collections to assist OSEP in reviewing the data for accuracy. SSS-IDEA is collected via E</w:t>
      </w:r>
      <w:r w:rsidRPr="002C186E">
        <w:rPr>
          <w:rFonts w:ascii="Calibri" w:hAnsi="Calibri" w:cs="Calibri"/>
          <w:i/>
          <w:color w:val="000000" w:themeColor="text1"/>
          <w:sz w:val="18"/>
          <w:szCs w:val="18"/>
        </w:rPr>
        <w:t>MAPS</w:t>
      </w:r>
      <w:r w:rsidRPr="002C186E">
        <w:rPr>
          <w:rFonts w:ascii="Calibri" w:hAnsi="Calibri" w:cs="Calibri"/>
          <w:color w:val="000000" w:themeColor="text1"/>
          <w:sz w:val="18"/>
          <w:szCs w:val="18"/>
        </w:rPr>
        <w:t xml:space="preserve"> annually prior to the Child Count and Educational Environment data submission. </w:t>
      </w:r>
    </w:p>
  </w:footnote>
  <w:footnote w:id="2">
    <w:p w:rsidR="002C186E" w:rsidRPr="002C186E" w:rsidRDefault="002C186E" w:rsidP="002C186E">
      <w:pPr>
        <w:pStyle w:val="FootnoteText"/>
        <w:rPr>
          <w:rFonts w:ascii="Calibri" w:hAnsi="Calibri" w:cs="Calibri"/>
          <w:b/>
          <w:color w:val="000000" w:themeColor="text1"/>
          <w:sz w:val="18"/>
          <w:szCs w:val="18"/>
        </w:rPr>
      </w:pPr>
      <w:r w:rsidRPr="002C186E">
        <w:rPr>
          <w:rStyle w:val="FootnoteReference"/>
          <w:rFonts w:ascii="Calibri" w:hAnsi="Calibri" w:cs="Calibri"/>
          <w:color w:val="000000" w:themeColor="text1"/>
          <w:sz w:val="18"/>
          <w:szCs w:val="18"/>
        </w:rPr>
        <w:footnoteRef/>
      </w:r>
      <w:r w:rsidRPr="002C186E">
        <w:rPr>
          <w:rFonts w:ascii="Calibri" w:hAnsi="Calibri" w:cs="Calibri"/>
          <w:b/>
          <w:color w:val="000000" w:themeColor="text1"/>
          <w:sz w:val="18"/>
          <w:szCs w:val="18"/>
        </w:rPr>
        <w:tab/>
        <w:t>Data Validation—</w:t>
      </w:r>
    </w:p>
    <w:p w:rsidR="002C186E" w:rsidRPr="002C186E" w:rsidRDefault="002C186E" w:rsidP="002C186E">
      <w:pPr>
        <w:pStyle w:val="N1-1stBullet"/>
        <w:numPr>
          <w:ilvl w:val="0"/>
          <w:numId w:val="28"/>
        </w:numPr>
        <w:spacing w:after="0"/>
        <w:ind w:left="36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At the SEA level, confirm each exiting student was enrolled in special education at the beginning of the reporting period, that the student was not enrolled in special education at the end of the reporting period (in any LEA in the state), that the basis (reason) of exiting special education is captured, and that the student’s demographic data (disability, age, race, gender, grade, LEP status) are correct.</w:t>
      </w:r>
    </w:p>
    <w:p w:rsidR="002C186E" w:rsidRPr="002C186E" w:rsidRDefault="002C186E" w:rsidP="002C186E">
      <w:pPr>
        <w:pStyle w:val="N1-1stBullet"/>
        <w:numPr>
          <w:ilvl w:val="0"/>
          <w:numId w:val="28"/>
        </w:numPr>
        <w:spacing w:after="0"/>
        <w:ind w:left="36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 xml:space="preserve">At the SEA level, confirm that all expected exiting records are submitted. (Review against students counted as receiving services during the previous reporting period.) </w:t>
      </w:r>
    </w:p>
    <w:p w:rsidR="002C186E" w:rsidRPr="002C186E" w:rsidRDefault="002C186E" w:rsidP="002C186E">
      <w:pPr>
        <w:pStyle w:val="N1-1stBullet"/>
        <w:numPr>
          <w:ilvl w:val="0"/>
          <w:numId w:val="28"/>
        </w:numPr>
        <w:spacing w:after="0"/>
        <w:ind w:left="36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 xml:space="preserve">Review and correct, or have LEAs correct, students reported as exiting more than once. </w:t>
      </w:r>
    </w:p>
    <w:p w:rsidR="002C186E" w:rsidRPr="002C186E" w:rsidRDefault="002C186E" w:rsidP="002C186E">
      <w:pPr>
        <w:pStyle w:val="N1-1stBullet"/>
        <w:numPr>
          <w:ilvl w:val="0"/>
          <w:numId w:val="28"/>
        </w:numPr>
        <w:spacing w:after="0"/>
        <w:ind w:left="36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 xml:space="preserve">Address records to explain unusual or impossible basis for exiting (e.g., ”dropped out” at age 14, “graduated” at age 14-16, “reached maximum age” before age 21). </w:t>
      </w:r>
    </w:p>
    <w:p w:rsidR="002C186E" w:rsidRPr="002C186E" w:rsidRDefault="002C186E" w:rsidP="002C186E">
      <w:pPr>
        <w:pStyle w:val="N1-1stBullet"/>
        <w:numPr>
          <w:ilvl w:val="0"/>
          <w:numId w:val="28"/>
        </w:numPr>
        <w:spacing w:after="0"/>
        <w:ind w:left="36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The state report total may not equal the sum total of the districts’ exiters. For example, a student exiting special education by moving from one district may still be enrolled in special education in a receiving district (elsewhere in the state) and therefore not be reported as exiting special education on the state-level report.</w:t>
      </w:r>
    </w:p>
    <w:p w:rsidR="002C186E" w:rsidRPr="002C186E" w:rsidRDefault="002C186E" w:rsidP="002C186E">
      <w:pPr>
        <w:pStyle w:val="N1-1stBullet"/>
        <w:numPr>
          <w:ilvl w:val="0"/>
          <w:numId w:val="28"/>
        </w:numPr>
        <w:spacing w:after="0"/>
        <w:ind w:left="360"/>
        <w:contextualSpacing/>
        <w:rPr>
          <w:rFonts w:ascii="Calibri" w:hAnsi="Calibri" w:cs="Calibri"/>
          <w:color w:val="000000" w:themeColor="text1"/>
          <w:sz w:val="18"/>
          <w:szCs w:val="18"/>
        </w:rPr>
      </w:pPr>
      <w:r w:rsidRPr="002C186E">
        <w:rPr>
          <w:rFonts w:ascii="Calibri" w:hAnsi="Calibri" w:cs="Calibri"/>
          <w:color w:val="000000" w:themeColor="text1"/>
          <w:sz w:val="18"/>
          <w:szCs w:val="18"/>
        </w:rPr>
        <w:t xml:space="preserve">Clarify (and disseminate) state business rules in concert with file specifications regarding: </w:t>
      </w:r>
    </w:p>
    <w:p w:rsidR="002C186E" w:rsidRPr="002C186E" w:rsidRDefault="002C186E" w:rsidP="002C186E">
      <w:pPr>
        <w:pStyle w:val="N4-4thBullet"/>
        <w:numPr>
          <w:ilvl w:val="1"/>
          <w:numId w:val="27"/>
        </w:numPr>
        <w:spacing w:after="0" w:line="240" w:lineRule="auto"/>
        <w:ind w:left="720"/>
        <w:rPr>
          <w:rFonts w:ascii="Calibri" w:hAnsi="Calibri" w:cs="Calibri"/>
          <w:color w:val="000000" w:themeColor="text1"/>
          <w:sz w:val="18"/>
          <w:szCs w:val="18"/>
        </w:rPr>
      </w:pPr>
      <w:r w:rsidRPr="002C186E">
        <w:rPr>
          <w:rFonts w:ascii="Calibri" w:hAnsi="Calibri" w:cs="Calibri"/>
          <w:color w:val="000000" w:themeColor="text1"/>
          <w:sz w:val="18"/>
          <w:szCs w:val="18"/>
        </w:rPr>
        <w:t>Regular high school diploma</w:t>
      </w:r>
    </w:p>
    <w:p w:rsidR="002C186E" w:rsidRPr="002C186E" w:rsidRDefault="002C186E" w:rsidP="002C186E">
      <w:pPr>
        <w:pStyle w:val="N4-4thBullet"/>
        <w:numPr>
          <w:ilvl w:val="1"/>
          <w:numId w:val="27"/>
        </w:numPr>
        <w:spacing w:after="0" w:line="240" w:lineRule="auto"/>
        <w:ind w:left="720"/>
        <w:rPr>
          <w:rFonts w:ascii="Calibri" w:hAnsi="Calibri" w:cs="Calibri"/>
          <w:color w:val="000000" w:themeColor="text1"/>
          <w:sz w:val="18"/>
          <w:szCs w:val="18"/>
        </w:rPr>
      </w:pPr>
      <w:r w:rsidRPr="002C186E">
        <w:rPr>
          <w:rFonts w:ascii="Calibri" w:hAnsi="Calibri" w:cs="Calibri"/>
          <w:color w:val="000000" w:themeColor="text1"/>
          <w:sz w:val="18"/>
          <w:szCs w:val="18"/>
        </w:rPr>
        <w:t>Certificate</w:t>
      </w:r>
    </w:p>
    <w:p w:rsidR="002C186E" w:rsidRPr="002C186E" w:rsidRDefault="002C186E" w:rsidP="002C186E">
      <w:pPr>
        <w:pStyle w:val="N4-4thBullet"/>
        <w:numPr>
          <w:ilvl w:val="1"/>
          <w:numId w:val="27"/>
        </w:numPr>
        <w:spacing w:after="0" w:line="240" w:lineRule="auto"/>
        <w:ind w:left="720"/>
        <w:rPr>
          <w:rFonts w:ascii="Calibri" w:hAnsi="Calibri" w:cs="Calibri"/>
          <w:color w:val="000000" w:themeColor="text1"/>
          <w:sz w:val="18"/>
          <w:szCs w:val="18"/>
        </w:rPr>
      </w:pPr>
      <w:r w:rsidRPr="002C186E">
        <w:rPr>
          <w:rFonts w:ascii="Calibri" w:hAnsi="Calibri" w:cs="Calibri"/>
          <w:color w:val="000000" w:themeColor="text1"/>
          <w:sz w:val="18"/>
          <w:szCs w:val="18"/>
        </w:rPr>
        <w:t>GED</w:t>
      </w:r>
    </w:p>
    <w:p w:rsidR="002C186E" w:rsidRPr="002C186E" w:rsidRDefault="002C186E" w:rsidP="002C186E">
      <w:pPr>
        <w:pStyle w:val="N4-4thBullet"/>
        <w:numPr>
          <w:ilvl w:val="1"/>
          <w:numId w:val="27"/>
        </w:numPr>
        <w:spacing w:after="80" w:line="240" w:lineRule="auto"/>
        <w:ind w:left="720"/>
        <w:rPr>
          <w:rFonts w:ascii="Calibri" w:hAnsi="Calibri" w:cs="Calibri"/>
          <w:color w:val="000000" w:themeColor="text1"/>
          <w:sz w:val="18"/>
          <w:szCs w:val="18"/>
        </w:rPr>
      </w:pPr>
      <w:r w:rsidRPr="002C186E">
        <w:rPr>
          <w:rFonts w:ascii="Calibri" w:hAnsi="Calibri" w:cs="Calibri"/>
          <w:color w:val="000000" w:themeColor="text1"/>
          <w:sz w:val="18"/>
          <w:szCs w:val="18"/>
        </w:rPr>
        <w:t>Reached maximum age</w:t>
      </w:r>
    </w:p>
  </w:footnote>
  <w:footnote w:id="3">
    <w:p w:rsidR="002C186E" w:rsidRPr="002C186E" w:rsidRDefault="002C186E" w:rsidP="002C186E">
      <w:pPr>
        <w:pStyle w:val="FootnoteText"/>
        <w:spacing w:before="0" w:after="80"/>
        <w:rPr>
          <w:rFonts w:ascii="Calibri" w:hAnsi="Calibri" w:cs="Calibri"/>
          <w:color w:val="000000" w:themeColor="text1"/>
          <w:sz w:val="18"/>
          <w:szCs w:val="18"/>
        </w:rPr>
      </w:pPr>
      <w:r w:rsidRPr="002C186E">
        <w:rPr>
          <w:rStyle w:val="FootnoteReference"/>
          <w:rFonts w:ascii="Calibri" w:hAnsi="Calibri" w:cs="Calibri"/>
          <w:color w:val="000000" w:themeColor="text1"/>
          <w:sz w:val="18"/>
          <w:szCs w:val="18"/>
        </w:rPr>
        <w:footnoteRef/>
      </w:r>
      <w:r w:rsidRPr="002C186E">
        <w:rPr>
          <w:rFonts w:ascii="Calibri" w:hAnsi="Calibri" w:cs="Calibri"/>
          <w:b/>
          <w:color w:val="000000" w:themeColor="text1"/>
          <w:sz w:val="18"/>
          <w:szCs w:val="18"/>
        </w:rPr>
        <w:tab/>
        <w:t>Submission</w:t>
      </w:r>
      <w:r w:rsidRPr="002C186E">
        <w:rPr>
          <w:rFonts w:ascii="Calibri" w:hAnsi="Calibri" w:cs="Calibri"/>
          <w:color w:val="000000" w:themeColor="text1"/>
          <w:sz w:val="18"/>
          <w:szCs w:val="18"/>
        </w:rPr>
        <w:t>—Describe where and how a copy of the submitted ED</w:t>
      </w:r>
      <w:r w:rsidRPr="002C186E">
        <w:rPr>
          <w:rFonts w:ascii="Calibri" w:hAnsi="Calibri" w:cs="Calibri"/>
          <w:i/>
          <w:color w:val="000000" w:themeColor="text1"/>
          <w:sz w:val="18"/>
          <w:szCs w:val="18"/>
        </w:rPr>
        <w:t xml:space="preserve">Facts </w:t>
      </w:r>
      <w:r w:rsidRPr="002C186E">
        <w:rPr>
          <w:rFonts w:ascii="Calibri" w:hAnsi="Calibri" w:cs="Calibri"/>
          <w:color w:val="000000" w:themeColor="text1"/>
          <w:sz w:val="18"/>
          <w:szCs w:val="18"/>
        </w:rPr>
        <w:t>file is accessed for future reference.</w:t>
      </w:r>
    </w:p>
  </w:footnote>
  <w:footnote w:id="4">
    <w:p w:rsidR="002C186E" w:rsidRPr="002C186E" w:rsidRDefault="002C186E" w:rsidP="002C186E">
      <w:pPr>
        <w:pStyle w:val="FootnoteText"/>
        <w:spacing w:before="0" w:after="80"/>
        <w:rPr>
          <w:rFonts w:ascii="Calibri" w:hAnsi="Calibri" w:cs="Calibri"/>
          <w:color w:val="000000" w:themeColor="text1"/>
          <w:sz w:val="18"/>
          <w:szCs w:val="18"/>
        </w:rPr>
      </w:pPr>
      <w:r w:rsidRPr="002C186E">
        <w:rPr>
          <w:rStyle w:val="FootnoteReference"/>
          <w:rFonts w:ascii="Calibri" w:hAnsi="Calibri" w:cs="Calibri"/>
          <w:color w:val="000000" w:themeColor="text1"/>
          <w:sz w:val="18"/>
          <w:szCs w:val="18"/>
        </w:rPr>
        <w:footnoteRef/>
      </w:r>
      <w:r w:rsidRPr="002C186E">
        <w:rPr>
          <w:rFonts w:ascii="Calibri" w:hAnsi="Calibri" w:cs="Calibri"/>
          <w:b/>
          <w:color w:val="000000" w:themeColor="text1"/>
          <w:sz w:val="18"/>
          <w:szCs w:val="18"/>
        </w:rPr>
        <w:tab/>
        <w:t>Response to OSEP Data Quality Report</w:t>
      </w:r>
      <w:r w:rsidRPr="002C186E">
        <w:rPr>
          <w:rFonts w:ascii="Calibri" w:hAnsi="Calibri" w:cs="Calibri"/>
          <w:color w:val="000000" w:themeColor="text1"/>
          <w:sz w:val="18"/>
          <w:szCs w:val="18"/>
        </w:rPr>
        <w:t>—OSEP reviews IDEA data submissions for timeliness, completeness, and accuracy and provides feedback via MAX. Following collection due dates, OSEP posts a data quality report to each SEA’s individual MAX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EB7" w:rsidRPr="002C186E" w:rsidRDefault="002C186E" w:rsidP="002C186E">
    <w:pPr>
      <w:pStyle w:val="Header"/>
      <w:pBdr>
        <w:bottom w:val="single" w:sz="4" w:space="1" w:color="595959" w:themeColor="text1" w:themeTint="A6"/>
      </w:pBdr>
      <w:tabs>
        <w:tab w:val="right" w:pos="10800"/>
      </w:tabs>
      <w:spacing w:after="480"/>
      <w:rPr>
        <w:rFonts w:asciiTheme="minorHAnsi" w:hAnsiTheme="minorHAnsi" w:cstheme="minorHAnsi"/>
        <w:noProof/>
        <w:color w:val="000000" w:themeColor="text1"/>
        <w:sz w:val="16"/>
        <w:szCs w:val="16"/>
      </w:rPr>
    </w:pPr>
    <w:r w:rsidRPr="002C186E">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101BAC1C" wp14:editId="10A676B5">
          <wp:simplePos x="0" y="0"/>
          <wp:positionH relativeFrom="margin">
            <wp:posOffset>5505450</wp:posOffset>
          </wp:positionH>
          <wp:positionV relativeFrom="margin">
            <wp:posOffset>-1333500</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2C186E">
      <w:rPr>
        <w:rFonts w:asciiTheme="minorHAnsi" w:hAnsiTheme="minorHAnsi" w:cstheme="minorHAnsi"/>
        <w:noProof/>
        <w:color w:val="000000" w:themeColor="text1"/>
        <w:sz w:val="16"/>
        <w:szCs w:val="16"/>
      </w:rPr>
      <w:t>SEA Data Processes Toolkit</w:t>
    </w:r>
  </w:p>
  <w:p w:rsidR="00957EB7" w:rsidRPr="002C186E" w:rsidRDefault="002C186E" w:rsidP="002C186E">
    <w:pPr>
      <w:pStyle w:val="Header"/>
      <w:pBdr>
        <w:bottom w:val="single" w:sz="18" w:space="8" w:color="01579B"/>
      </w:pBdr>
      <w:tabs>
        <w:tab w:val="right" w:pos="10800"/>
      </w:tabs>
      <w:jc w:val="center"/>
      <w:rPr>
        <w:rFonts w:asciiTheme="minorHAnsi" w:hAnsiTheme="minorHAnsi"/>
        <w:b/>
        <w:color w:val="26847A"/>
        <w:sz w:val="32"/>
        <w:szCs w:val="32"/>
      </w:rPr>
    </w:pPr>
    <w:r w:rsidRPr="002C186E">
      <w:rPr>
        <w:rFonts w:asciiTheme="minorHAnsi" w:hAnsiTheme="minorHAnsi"/>
        <w:b/>
        <w:color w:val="26847A"/>
        <w:sz w:val="32"/>
        <w:szCs w:val="32"/>
      </w:rPr>
      <w:t>Data Collection Protocol—Exiting</w:t>
    </w:r>
  </w:p>
  <w:p w:rsidR="0066711B" w:rsidRDefault="00077601" w:rsidP="00957EB7">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C8" w:rsidRDefault="002C186E" w:rsidP="00957EB7">
    <w:pPr>
      <w:pStyle w:val="SL-FlLftSgl"/>
    </w:pPr>
    <w:r>
      <w:rPr>
        <w:noProof/>
      </w:rPr>
      <w:drawing>
        <wp:inline distT="0" distB="0" distL="0" distR="0" wp14:anchorId="5D24AAA2" wp14:editId="62B3017C">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ing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136F1"/>
    <w:multiLevelType w:val="hybridMultilevel"/>
    <w:tmpl w:val="0520E396"/>
    <w:lvl w:ilvl="0" w:tplc="D4684EF4">
      <w:start w:val="1"/>
      <w:numFmt w:val="bullet"/>
      <w:lvlText w:val=""/>
      <w:lvlJc w:val="left"/>
      <w:pPr>
        <w:ind w:left="720" w:hanging="360"/>
      </w:pPr>
      <w:rPr>
        <w:rFonts w:ascii="Symbol" w:hAnsi="Symbol" w:hint="default"/>
        <w:b w:val="0"/>
        <w:i w:val="0"/>
        <w:color w:val="26847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3C124F6"/>
    <w:multiLevelType w:val="hybridMultilevel"/>
    <w:tmpl w:val="6FF81B9A"/>
    <w:lvl w:ilvl="0" w:tplc="E9142EC4">
      <w:start w:val="1"/>
      <w:numFmt w:val="bullet"/>
      <w:lvlText w:val=""/>
      <w:lvlJc w:val="left"/>
      <w:pPr>
        <w:ind w:left="720" w:hanging="360"/>
      </w:pPr>
      <w:rPr>
        <w:rFonts w:ascii="Symbol" w:hAnsi="Symbol" w:hint="default"/>
        <w:b w:val="0"/>
        <w:i w:val="0"/>
        <w:color w:val="26847A"/>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02DDC"/>
    <w:multiLevelType w:val="hybridMultilevel"/>
    <w:tmpl w:val="F7AAB8DE"/>
    <w:lvl w:ilvl="0" w:tplc="04090001">
      <w:start w:val="1"/>
      <w:numFmt w:val="bullet"/>
      <w:lvlText w:val=""/>
      <w:lvlJc w:val="left"/>
      <w:pPr>
        <w:ind w:left="360" w:hanging="360"/>
      </w:pPr>
      <w:rPr>
        <w:rFonts w:ascii="Symbol" w:hAnsi="Symbol" w:hint="default"/>
      </w:rPr>
    </w:lvl>
    <w:lvl w:ilvl="1" w:tplc="A3626762">
      <w:start w:val="1"/>
      <w:numFmt w:val="bullet"/>
      <w:lvlText w:val="–"/>
      <w:lvlJc w:val="left"/>
      <w:pPr>
        <w:ind w:left="1080" w:hanging="360"/>
      </w:pPr>
      <w:rPr>
        <w:rFonts w:ascii="Times New Roman" w:hAnsi="Times New Roman" w:cs="Times New Roman" w:hint="default"/>
        <w:color w:val="26847A"/>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62583E"/>
    <w:multiLevelType w:val="hybridMultilevel"/>
    <w:tmpl w:val="EDE29148"/>
    <w:lvl w:ilvl="0" w:tplc="0F3CF63E">
      <w:start w:val="1"/>
      <w:numFmt w:val="bullet"/>
      <w:lvlText w:val=""/>
      <w:lvlJc w:val="left"/>
      <w:pPr>
        <w:ind w:left="720" w:hanging="360"/>
      </w:pPr>
      <w:rPr>
        <w:rFonts w:ascii="Symbol" w:hAnsi="Symbol" w:hint="default"/>
        <w:b w:val="0"/>
        <w:i w:val="0"/>
        <w:color w:val="007E8E"/>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5"/>
  </w:num>
  <w:num w:numId="5">
    <w:abstractNumId w:val="8"/>
  </w:num>
  <w:num w:numId="6">
    <w:abstractNumId w:val="2"/>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0"/>
  </w:num>
  <w:num w:numId="18">
    <w:abstractNumId w:val="1"/>
  </w:num>
  <w:num w:numId="19">
    <w:abstractNumId w:val="5"/>
  </w:num>
  <w:num w:numId="20">
    <w:abstractNumId w:val="8"/>
  </w:num>
  <w:num w:numId="21">
    <w:abstractNumId w:val="2"/>
  </w:num>
  <w:num w:numId="22">
    <w:abstractNumId w:val="10"/>
  </w:num>
  <w:num w:numId="23">
    <w:abstractNumId w:val="3"/>
  </w:num>
  <w:num w:numId="24">
    <w:abstractNumId w:val="0"/>
  </w:num>
  <w:num w:numId="25">
    <w:abstractNumId w:val="9"/>
  </w:num>
  <w:num w:numId="26">
    <w:abstractNumId w:val="6"/>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6E"/>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77601"/>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C186E"/>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31C02B5-5EF3-4826-A71A-2A46361B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link w:val="FooterChar"/>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qFormat/>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2C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2C186E"/>
    <w:rPr>
      <w:rFonts w:ascii="Garamond" w:hAnsi="Garamond"/>
    </w:rPr>
  </w:style>
  <w:style w:type="character" w:customStyle="1" w:styleId="FooterChar">
    <w:name w:val="Footer Char"/>
    <w:basedOn w:val="DefaultParagraphFont"/>
    <w:link w:val="Footer"/>
    <w:rsid w:val="002C186E"/>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A18D-83C9-4371-B8B2-308FDB97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5</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Bull, Danielle Crain, Terry Long, Robin Nelson, Chris Thacker, Lindsay Wise</dc:creator>
  <cp:keywords/>
  <dc:description/>
  <cp:lastModifiedBy>Sylvie Warren</cp:lastModifiedBy>
  <cp:revision>2</cp:revision>
  <cp:lastPrinted>2014-03-18T13:50:00Z</cp:lastPrinted>
  <dcterms:created xsi:type="dcterms:W3CDTF">2020-02-24T16:38:00Z</dcterms:created>
  <dcterms:modified xsi:type="dcterms:W3CDTF">2020-02-25T14:47:00Z</dcterms:modified>
</cp:coreProperties>
</file>