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35F12B5D" w:rsidR="00FA3124" w:rsidRPr="00FA3124" w:rsidRDefault="00FA3124" w:rsidP="00664AE6">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6ECABDB" w14:textId="77777777" w:rsidTr="00664AE6">
        <w:trPr>
          <w:cantSplit/>
          <w:trHeight w:val="20"/>
        </w:trPr>
        <w:tc>
          <w:tcPr>
            <w:tcW w:w="10070" w:type="dxa"/>
            <w:shd w:val="clear" w:color="auto" w:fill="065D8B"/>
          </w:tcPr>
          <w:p w14:paraId="0C5AEAC1" w14:textId="099DE3F6" w:rsidR="00E2128C" w:rsidRPr="00E63305" w:rsidRDefault="00857CA9" w:rsidP="00900525">
            <w:pPr>
              <w:pStyle w:val="SL-FlLftSgl"/>
              <w:rPr>
                <w:rFonts w:asciiTheme="minorHAnsi" w:hAnsiTheme="minorHAnsi"/>
              </w:rPr>
            </w:pPr>
            <w:r w:rsidRPr="00E63305">
              <w:rPr>
                <w:rFonts w:asciiTheme="minorHAnsi" w:hAnsiTheme="minorHAnsi"/>
              </w:rPr>
              <w:t>Indicator Description:</w:t>
            </w:r>
          </w:p>
        </w:tc>
      </w:tr>
      <w:tr w:rsidR="00900525" w:rsidRPr="004976EC" w14:paraId="0F439275" w14:textId="77777777" w:rsidTr="00664AE6">
        <w:trPr>
          <w:cantSplit/>
          <w:trHeight w:val="20"/>
        </w:trPr>
        <w:tc>
          <w:tcPr>
            <w:tcW w:w="10070" w:type="dxa"/>
            <w:tcBorders>
              <w:bottom w:val="single" w:sz="4" w:space="0" w:color="auto"/>
            </w:tcBorders>
            <w:tcMar>
              <w:top w:w="115" w:type="dxa"/>
              <w:left w:w="115" w:type="dxa"/>
              <w:bottom w:w="115" w:type="dxa"/>
              <w:right w:w="115" w:type="dxa"/>
            </w:tcMar>
          </w:tcPr>
          <w:p w14:paraId="008E1A2B" w14:textId="272E35B6" w:rsidR="006744C1" w:rsidRPr="00E63305" w:rsidRDefault="006744C1" w:rsidP="00664AE6">
            <w:pPr>
              <w:pStyle w:val="Default"/>
              <w:spacing w:after="120"/>
              <w:rPr>
                <w:rFonts w:asciiTheme="minorHAnsi" w:hAnsiTheme="minorHAnsi"/>
              </w:rPr>
            </w:pPr>
            <w:r w:rsidRPr="00E63305">
              <w:rPr>
                <w:rFonts w:asciiTheme="minorHAnsi" w:hAnsiTheme="minorHAnsi"/>
              </w:rPr>
              <w:t xml:space="preserve">Participation and performance of children with </w:t>
            </w:r>
            <w:r w:rsidR="0049624A" w:rsidRPr="00E63305">
              <w:rPr>
                <w:rFonts w:asciiTheme="minorHAnsi" w:hAnsiTheme="minorHAnsi"/>
              </w:rPr>
              <w:t>individualized education programs (</w:t>
            </w:r>
            <w:r w:rsidRPr="00E63305">
              <w:rPr>
                <w:rFonts w:asciiTheme="minorHAnsi" w:hAnsiTheme="minorHAnsi"/>
              </w:rPr>
              <w:t>IEPs</w:t>
            </w:r>
            <w:r w:rsidR="0049624A" w:rsidRPr="00E63305">
              <w:rPr>
                <w:rFonts w:asciiTheme="minorHAnsi" w:hAnsiTheme="minorHAnsi"/>
              </w:rPr>
              <w:t>)</w:t>
            </w:r>
            <w:r w:rsidRPr="00E63305">
              <w:rPr>
                <w:rFonts w:asciiTheme="minorHAnsi" w:hAnsiTheme="minorHAnsi"/>
              </w:rPr>
              <w:t xml:space="preserve"> on statewide assessments</w:t>
            </w:r>
            <w:r w:rsidR="00664AE6" w:rsidRPr="00E63305">
              <w:rPr>
                <w:rFonts w:asciiTheme="minorHAnsi" w:hAnsiTheme="minorHAnsi"/>
              </w:rPr>
              <w:t>:</w:t>
            </w:r>
            <w:r w:rsidR="008E6132" w:rsidRPr="00E63305">
              <w:rPr>
                <w:rStyle w:val="FootnoteReference"/>
                <w:rFonts w:asciiTheme="minorHAnsi" w:hAnsiTheme="minorHAnsi"/>
              </w:rPr>
              <w:footnoteReference w:id="2"/>
            </w:r>
          </w:p>
          <w:p w14:paraId="668EA27C" w14:textId="299993BD" w:rsidR="006744C1" w:rsidRPr="00E63305" w:rsidRDefault="00664AE6" w:rsidP="00664AE6">
            <w:pPr>
              <w:autoSpaceDE w:val="0"/>
              <w:autoSpaceDN w:val="0"/>
              <w:adjustRightInd w:val="0"/>
              <w:spacing w:after="120" w:line="240" w:lineRule="auto"/>
              <w:ind w:left="360" w:hanging="360"/>
              <w:rPr>
                <w:rFonts w:eastAsia="Calibri" w:cs="Arial"/>
                <w:szCs w:val="24"/>
              </w:rPr>
            </w:pPr>
            <w:r w:rsidRPr="00E63305">
              <w:rPr>
                <w:rFonts w:eastAsia="Calibri" w:cs="Arial"/>
                <w:szCs w:val="24"/>
              </w:rPr>
              <w:t>3B.</w:t>
            </w:r>
            <w:r w:rsidRPr="00E63305">
              <w:rPr>
                <w:rFonts w:eastAsia="Calibri" w:cs="Arial"/>
                <w:szCs w:val="24"/>
              </w:rPr>
              <w:tab/>
            </w:r>
            <w:r w:rsidR="006744C1" w:rsidRPr="00E63305">
              <w:rPr>
                <w:rFonts w:eastAsia="Calibri" w:cs="Arial"/>
                <w:szCs w:val="24"/>
              </w:rPr>
              <w:t xml:space="preserve">Participation rate for children with IEPs. </w:t>
            </w:r>
          </w:p>
          <w:p w14:paraId="1089BDD0" w14:textId="28E4CDED" w:rsidR="00900525" w:rsidRPr="00E63305" w:rsidRDefault="00664AE6" w:rsidP="00664AE6">
            <w:pPr>
              <w:autoSpaceDE w:val="0"/>
              <w:autoSpaceDN w:val="0"/>
              <w:adjustRightInd w:val="0"/>
              <w:spacing w:after="120" w:line="240" w:lineRule="auto"/>
              <w:ind w:left="360" w:hanging="360"/>
              <w:rPr>
                <w:rFonts w:cs="Arial"/>
                <w:color w:val="000000"/>
                <w:szCs w:val="24"/>
              </w:rPr>
            </w:pPr>
            <w:r w:rsidRPr="00E63305">
              <w:rPr>
                <w:rFonts w:eastAsia="Calibri" w:cs="Arial"/>
                <w:szCs w:val="24"/>
              </w:rPr>
              <w:t>3C.</w:t>
            </w:r>
            <w:r w:rsidRPr="00E63305">
              <w:rPr>
                <w:rFonts w:eastAsia="Calibri" w:cs="Arial"/>
                <w:szCs w:val="24"/>
              </w:rPr>
              <w:tab/>
            </w:r>
            <w:r w:rsidR="006744C1" w:rsidRPr="00E63305">
              <w:rPr>
                <w:rFonts w:eastAsia="Calibri" w:cs="Arial"/>
                <w:szCs w:val="24"/>
              </w:rPr>
              <w:t>Profici</w:t>
            </w:r>
            <w:r w:rsidR="006744C1" w:rsidRPr="00E63305">
              <w:rPr>
                <w:szCs w:val="24"/>
              </w:rPr>
              <w:t xml:space="preserve">ency rate for children with IEPs against grade level and alternate academic achievement standards. </w:t>
            </w:r>
          </w:p>
        </w:tc>
      </w:tr>
      <w:tr w:rsidR="00900525" w:rsidRPr="004976EC" w14:paraId="3EFB3D87" w14:textId="77777777" w:rsidTr="00664AE6">
        <w:trPr>
          <w:cantSplit/>
          <w:trHeight w:val="20"/>
        </w:trPr>
        <w:tc>
          <w:tcPr>
            <w:tcW w:w="10070" w:type="dxa"/>
            <w:shd w:val="clear" w:color="auto" w:fill="065D8B"/>
          </w:tcPr>
          <w:p w14:paraId="2E564754" w14:textId="223B4B40" w:rsidR="00900525" w:rsidRPr="00E63305" w:rsidRDefault="00900525" w:rsidP="00900525">
            <w:pPr>
              <w:pStyle w:val="SL-FlLftSgl"/>
              <w:rPr>
                <w:rFonts w:asciiTheme="minorHAnsi" w:hAnsiTheme="minorHAnsi"/>
              </w:rPr>
            </w:pPr>
            <w:r w:rsidRPr="00E63305">
              <w:rPr>
                <w:rFonts w:asciiTheme="minorHAnsi" w:hAnsiTheme="minorHAnsi"/>
              </w:rPr>
              <w:t>Measurement:</w:t>
            </w:r>
            <w:r w:rsidRPr="00E63305">
              <w:rPr>
                <w:rStyle w:val="FootnoteReference"/>
                <w:rFonts w:asciiTheme="minorHAnsi" w:hAnsiTheme="minorHAnsi"/>
              </w:rPr>
              <w:footnoteReference w:id="3"/>
            </w:r>
          </w:p>
        </w:tc>
      </w:tr>
      <w:tr w:rsidR="00900525" w:rsidRPr="004976EC" w14:paraId="51C75527" w14:textId="77777777" w:rsidTr="00664AE6">
        <w:trPr>
          <w:cantSplit/>
          <w:trHeight w:val="20"/>
        </w:trPr>
        <w:tc>
          <w:tcPr>
            <w:tcW w:w="10070" w:type="dxa"/>
            <w:shd w:val="clear" w:color="auto" w:fill="auto"/>
          </w:tcPr>
          <w:p w14:paraId="078F8970" w14:textId="6340E5C8" w:rsidR="006744C1" w:rsidRPr="00E63305" w:rsidRDefault="00664AE6" w:rsidP="00664AE6">
            <w:pPr>
              <w:autoSpaceDE w:val="0"/>
              <w:autoSpaceDN w:val="0"/>
              <w:adjustRightInd w:val="0"/>
              <w:spacing w:after="120" w:line="240" w:lineRule="auto"/>
              <w:ind w:left="360" w:hanging="360"/>
              <w:rPr>
                <w:rFonts w:cs="Arial"/>
                <w:color w:val="000000" w:themeColor="text1"/>
                <w:szCs w:val="24"/>
              </w:rPr>
            </w:pPr>
            <w:r w:rsidRPr="00E63305">
              <w:rPr>
                <w:rFonts w:eastAsia="Calibri" w:cs="Arial"/>
                <w:szCs w:val="24"/>
              </w:rPr>
              <w:t>3</w:t>
            </w:r>
            <w:r w:rsidR="006744C1" w:rsidRPr="00E63305">
              <w:rPr>
                <w:rFonts w:eastAsia="Calibri" w:cs="Arial"/>
                <w:szCs w:val="24"/>
              </w:rPr>
              <w:t>B.</w:t>
            </w:r>
            <w:r w:rsidRPr="00E63305">
              <w:rPr>
                <w:rFonts w:eastAsia="Calibri" w:cs="Arial"/>
                <w:szCs w:val="24"/>
              </w:rPr>
              <w:tab/>
            </w:r>
            <w:r w:rsidR="006744C1" w:rsidRPr="00E63305">
              <w:rPr>
                <w:rFonts w:eastAsia="Calibri" w:cs="Arial"/>
                <w:szCs w:val="24"/>
              </w:rPr>
              <w:t xml:space="preserve">Participation rate percent = [(# of children with IEPs participating in an assessment) divided by the </w:t>
            </w:r>
            <w:r w:rsidR="00E20A32" w:rsidRPr="00E63305">
              <w:rPr>
                <w:rFonts w:eastAsia="Calibri" w:cs="Arial"/>
                <w:szCs w:val="24"/>
              </w:rPr>
              <w:t>(</w:t>
            </w:r>
            <w:r w:rsidR="00E20A32" w:rsidRPr="00E63305">
              <w:rPr>
                <w:rFonts w:cs="Arial"/>
                <w:color w:val="000000" w:themeColor="text1"/>
                <w:szCs w:val="24"/>
              </w:rPr>
              <w:t xml:space="preserve">total # of </w:t>
            </w:r>
            <w:r w:rsidR="006744C1" w:rsidRPr="00E63305">
              <w:rPr>
                <w:rFonts w:cs="Arial"/>
                <w:color w:val="000000" w:themeColor="text1"/>
                <w:szCs w:val="24"/>
              </w:rPr>
              <w:t>children with IEPs enrolled during the testing window</w:t>
            </w:r>
            <w:r w:rsidR="00532531" w:rsidRPr="00E63305">
              <w:rPr>
                <w:rFonts w:cs="Arial"/>
                <w:color w:val="000000" w:themeColor="text1"/>
                <w:szCs w:val="24"/>
              </w:rPr>
              <w:t>]. C</w:t>
            </w:r>
            <w:r w:rsidR="006744C1" w:rsidRPr="00E63305">
              <w:rPr>
                <w:rFonts w:cs="Arial"/>
                <w:color w:val="000000" w:themeColor="text1"/>
                <w:szCs w:val="24"/>
              </w:rPr>
              <w:t xml:space="preserve">alculate separately for reading and math. The participation rate is based on all children with IEPs, including both children with IEPs enrolled for a full academic year and those not enrolled for a full academic year. </w:t>
            </w:r>
          </w:p>
          <w:p w14:paraId="77E5E185" w14:textId="43254D61" w:rsidR="00900525" w:rsidRPr="00E63305" w:rsidRDefault="00664AE6" w:rsidP="00664AE6">
            <w:pPr>
              <w:autoSpaceDE w:val="0"/>
              <w:autoSpaceDN w:val="0"/>
              <w:adjustRightInd w:val="0"/>
              <w:spacing w:after="120" w:line="240" w:lineRule="auto"/>
              <w:ind w:left="360" w:hanging="360"/>
              <w:rPr>
                <w:rFonts w:eastAsia="Calibri" w:cs="Arial"/>
                <w:szCs w:val="24"/>
              </w:rPr>
            </w:pPr>
            <w:r w:rsidRPr="00E63305">
              <w:rPr>
                <w:rFonts w:cs="Arial"/>
                <w:color w:val="000000" w:themeColor="text1"/>
                <w:szCs w:val="24"/>
              </w:rPr>
              <w:t>3</w:t>
            </w:r>
            <w:r w:rsidR="006744C1" w:rsidRPr="00E63305">
              <w:rPr>
                <w:rFonts w:cs="Arial"/>
                <w:color w:val="000000" w:themeColor="text1"/>
                <w:szCs w:val="24"/>
              </w:rPr>
              <w:t>C.</w:t>
            </w:r>
            <w:r w:rsidRPr="00E63305">
              <w:rPr>
                <w:rFonts w:cs="Arial"/>
                <w:color w:val="000000" w:themeColor="text1"/>
                <w:szCs w:val="24"/>
              </w:rPr>
              <w:tab/>
            </w:r>
            <w:r w:rsidR="00FF1D55" w:rsidRPr="00E63305">
              <w:rPr>
                <w:rFonts w:cs="Arial"/>
                <w:color w:val="000000" w:themeColor="text1"/>
                <w:szCs w:val="24"/>
              </w:rPr>
              <w:t>Proficiency rate percent = [(# of children with IEPs scoring at or above proficient against grade level and alternate academic achievement standards) divided by the (total # of children with IEPs who received a valid score and for whom a proficiency level was assigned</w:t>
            </w:r>
            <w:r w:rsidR="00532531" w:rsidRPr="00E63305">
              <w:rPr>
                <w:rFonts w:cs="Arial"/>
                <w:color w:val="000000" w:themeColor="text1"/>
                <w:szCs w:val="24"/>
              </w:rPr>
              <w:t>)]</w:t>
            </w:r>
            <w:r w:rsidR="007E25B5">
              <w:rPr>
                <w:rFonts w:cs="Arial"/>
                <w:color w:val="000000" w:themeColor="text1"/>
                <w:szCs w:val="24"/>
              </w:rPr>
              <w:t>.</w:t>
            </w:r>
            <w:r w:rsidR="00FF1D55" w:rsidRPr="00E63305">
              <w:rPr>
                <w:rFonts w:cs="Arial"/>
                <w:color w:val="000000" w:themeColor="text1"/>
                <w:szCs w:val="24"/>
              </w:rPr>
              <w:t xml:space="preserve"> </w:t>
            </w:r>
            <w:r w:rsidR="00532531" w:rsidRPr="00E63305">
              <w:rPr>
                <w:rFonts w:cs="Arial"/>
                <w:color w:val="000000" w:themeColor="text1"/>
                <w:szCs w:val="24"/>
              </w:rPr>
              <w:t>C</w:t>
            </w:r>
            <w:r w:rsidR="00FF1D55" w:rsidRPr="00E63305">
              <w:rPr>
                <w:rFonts w:cs="Arial"/>
                <w:color w:val="000000" w:themeColor="text1"/>
                <w:szCs w:val="24"/>
              </w:rPr>
              <w:t>alculate</w:t>
            </w:r>
            <w:r w:rsidR="00E63305">
              <w:rPr>
                <w:rFonts w:cs="Arial"/>
                <w:color w:val="000000" w:themeColor="text1"/>
                <w:szCs w:val="24"/>
              </w:rPr>
              <w:t xml:space="preserve"> </w:t>
            </w:r>
            <w:r w:rsidR="00FF1D55" w:rsidRPr="00E63305">
              <w:rPr>
                <w:rFonts w:cs="Arial"/>
                <w:color w:val="000000" w:themeColor="text1"/>
                <w:szCs w:val="24"/>
              </w:rPr>
              <w:t>separately for reading</w:t>
            </w:r>
            <w:r w:rsidR="00FF1D55" w:rsidRPr="00E63305">
              <w:rPr>
                <w:rFonts w:cs="Arial"/>
                <w:szCs w:val="24"/>
              </w:rPr>
              <w:t xml:space="preserve"> and math. The proficiency rate </w:t>
            </w:r>
            <w:r w:rsidR="00FF1D55" w:rsidRPr="00E63305">
              <w:rPr>
                <w:rFonts w:cs="Arial"/>
                <w:bCs/>
                <w:szCs w:val="24"/>
              </w:rPr>
              <w:t xml:space="preserve">includes both </w:t>
            </w:r>
            <w:r w:rsidR="00FF1D55" w:rsidRPr="00E63305">
              <w:rPr>
                <w:rFonts w:cs="Arial"/>
                <w:szCs w:val="24"/>
              </w:rPr>
              <w:t xml:space="preserve">children with IEPs </w:t>
            </w:r>
            <w:r w:rsidR="00FF1D55" w:rsidRPr="00E63305">
              <w:rPr>
                <w:rFonts w:cs="Arial"/>
                <w:bCs/>
                <w:szCs w:val="24"/>
              </w:rPr>
              <w:t>enrolled for a full academic year and those not enrolled for a full academic yea</w:t>
            </w:r>
            <w:r w:rsidR="00FF1D55" w:rsidRPr="00E63305">
              <w:rPr>
                <w:rFonts w:cs="Arial"/>
                <w:szCs w:val="24"/>
              </w:rPr>
              <w:t>r.</w:t>
            </w:r>
          </w:p>
          <w:p w14:paraId="47743FFB" w14:textId="0207DE73" w:rsidR="00353D8D" w:rsidRPr="00E63305" w:rsidRDefault="00353D8D" w:rsidP="00B8213A">
            <w:pPr>
              <w:autoSpaceDE w:val="0"/>
              <w:autoSpaceDN w:val="0"/>
              <w:adjustRightInd w:val="0"/>
              <w:spacing w:after="120" w:line="240" w:lineRule="auto"/>
              <w:ind w:left="270" w:hanging="270"/>
              <w:rPr>
                <w:rFonts w:cs="Arial"/>
                <w:color w:val="000000"/>
                <w:szCs w:val="24"/>
              </w:rPr>
            </w:pPr>
            <w:r w:rsidRPr="00E63305">
              <w:rPr>
                <w:rFonts w:cs="Arial"/>
                <w:color w:val="000000"/>
                <w:szCs w:val="24"/>
              </w:rPr>
              <w:t>Provide the actual numbers used in the calculation.</w:t>
            </w:r>
          </w:p>
        </w:tc>
      </w:tr>
      <w:tr w:rsidR="00900525" w:rsidRPr="004976EC" w14:paraId="0169C6B2" w14:textId="77777777" w:rsidTr="00664AE6">
        <w:trPr>
          <w:cantSplit/>
          <w:trHeight w:val="20"/>
        </w:trPr>
        <w:tc>
          <w:tcPr>
            <w:tcW w:w="10070" w:type="dxa"/>
            <w:shd w:val="clear" w:color="auto" w:fill="065D8B"/>
          </w:tcPr>
          <w:p w14:paraId="671A9241" w14:textId="13449D83" w:rsidR="00900525" w:rsidRPr="00E63305" w:rsidRDefault="00702A0B" w:rsidP="00B8213A">
            <w:pPr>
              <w:pStyle w:val="SL-FlLftSgl"/>
              <w:rPr>
                <w:rFonts w:asciiTheme="minorHAnsi" w:hAnsiTheme="minorHAnsi"/>
                <w:b w:val="0"/>
              </w:rPr>
            </w:pPr>
            <w:r w:rsidRPr="00E63305">
              <w:rPr>
                <w:rFonts w:asciiTheme="minorHAnsi" w:hAnsiTheme="minorHAnsi"/>
              </w:rPr>
              <w:t>Target Setting</w:t>
            </w:r>
            <w:r w:rsidR="00900525" w:rsidRPr="00E63305">
              <w:rPr>
                <w:rFonts w:asciiTheme="minorHAnsi" w:hAnsiTheme="minorHAnsi"/>
              </w:rPr>
              <w:t xml:space="preserve">: </w:t>
            </w:r>
            <w:r w:rsidRPr="00E63305">
              <w:rPr>
                <w:rFonts w:asciiTheme="minorHAnsi" w:hAnsiTheme="minorHAnsi"/>
                <w:b w:val="0"/>
              </w:rPr>
              <w:t>This is a results indicator.</w:t>
            </w:r>
            <w:r w:rsidRPr="00E63305">
              <w:rPr>
                <w:rFonts w:asciiTheme="minorHAnsi" w:hAnsiTheme="minorHAnsi"/>
              </w:rPr>
              <w:t xml:space="preserve"> </w:t>
            </w:r>
            <w:r w:rsidR="00900525" w:rsidRPr="00E63305">
              <w:rPr>
                <w:rFonts w:asciiTheme="minorHAnsi" w:hAnsiTheme="minorHAnsi"/>
                <w:b w:val="0"/>
              </w:rPr>
              <w:t xml:space="preserve">Describe the process </w:t>
            </w:r>
            <w:r w:rsidR="00546552" w:rsidRPr="00E63305">
              <w:rPr>
                <w:rFonts w:asciiTheme="minorHAnsi" w:hAnsiTheme="minorHAnsi"/>
                <w:b w:val="0"/>
              </w:rPr>
              <w:t>your</w:t>
            </w:r>
            <w:r w:rsidR="00B8213A" w:rsidRPr="00E63305">
              <w:rPr>
                <w:rFonts w:asciiTheme="minorHAnsi" w:hAnsiTheme="minorHAnsi"/>
                <w:b w:val="0"/>
              </w:rPr>
              <w:t xml:space="preserve"> state </w:t>
            </w:r>
            <w:r w:rsidR="00900525" w:rsidRPr="00E63305">
              <w:rPr>
                <w:rFonts w:asciiTheme="minorHAnsi" w:hAnsiTheme="minorHAnsi"/>
                <w:b w:val="0"/>
              </w:rPr>
              <w:t>use</w:t>
            </w:r>
            <w:r w:rsidR="00B8213A" w:rsidRPr="00E63305">
              <w:rPr>
                <w:rFonts w:asciiTheme="minorHAnsi" w:hAnsiTheme="minorHAnsi"/>
                <w:b w:val="0"/>
              </w:rPr>
              <w:t>s</w:t>
            </w:r>
            <w:r w:rsidR="00900525" w:rsidRPr="00E63305">
              <w:rPr>
                <w:rFonts w:asciiTheme="minorHAnsi" w:hAnsiTheme="minorHAnsi"/>
                <w:b w:val="0"/>
              </w:rPr>
              <w:t xml:space="preserve"> to engage stakeholders and set targets.</w:t>
            </w:r>
          </w:p>
        </w:tc>
      </w:tr>
      <w:tr w:rsidR="00900525" w:rsidRPr="00664AE6" w14:paraId="3E36889D" w14:textId="77777777" w:rsidTr="00664AE6">
        <w:trPr>
          <w:cantSplit/>
          <w:trHeight w:val="20"/>
        </w:trPr>
        <w:tc>
          <w:tcPr>
            <w:tcW w:w="10070" w:type="dxa"/>
            <w:shd w:val="clear" w:color="auto" w:fill="auto"/>
          </w:tcPr>
          <w:p w14:paraId="51F85089" w14:textId="05A75B70" w:rsidR="00B03951" w:rsidRPr="00E63305" w:rsidRDefault="00B03951" w:rsidP="00664AE6">
            <w:pPr>
              <w:autoSpaceDE w:val="0"/>
              <w:autoSpaceDN w:val="0"/>
              <w:adjustRightInd w:val="0"/>
              <w:spacing w:line="240" w:lineRule="auto"/>
              <w:rPr>
                <w:rFonts w:cs="Arial"/>
                <w:color w:val="000000" w:themeColor="text1"/>
                <w:szCs w:val="24"/>
              </w:rPr>
            </w:pPr>
          </w:p>
        </w:tc>
      </w:tr>
      <w:tr w:rsidR="00900525" w:rsidRPr="004976EC" w14:paraId="7000B501" w14:textId="77777777" w:rsidTr="00664AE6">
        <w:trPr>
          <w:cantSplit/>
          <w:trHeight w:val="20"/>
        </w:trPr>
        <w:tc>
          <w:tcPr>
            <w:tcW w:w="10070" w:type="dxa"/>
            <w:shd w:val="clear" w:color="auto" w:fill="065D8B"/>
          </w:tcPr>
          <w:p w14:paraId="4D23C31B" w14:textId="022C9664" w:rsidR="00900525" w:rsidRPr="00E63305" w:rsidRDefault="006E728A" w:rsidP="00900525">
            <w:pPr>
              <w:pStyle w:val="SL-FlLftSgl"/>
              <w:rPr>
                <w:rFonts w:asciiTheme="minorHAnsi" w:hAnsiTheme="minorHAnsi"/>
              </w:rPr>
            </w:pPr>
            <w:hyperlink r:id="rId9" w:anchor="program" w:history="1">
              <w:r w:rsidR="00ED63AC" w:rsidRPr="00E63305">
                <w:rPr>
                  <w:rStyle w:val="Hyperlink"/>
                  <w:rFonts w:asciiTheme="minorHAnsi" w:hAnsiTheme="minorHAnsi"/>
                  <w:color w:val="FBD4B4" w:themeColor="accent6" w:themeTint="66"/>
                </w:rPr>
                <w:t>GRADS</w:t>
              </w:r>
              <w:r w:rsidR="00900525" w:rsidRPr="00E63305">
                <w:rPr>
                  <w:rStyle w:val="Hyperlink"/>
                  <w:rFonts w:asciiTheme="minorHAnsi" w:hAnsiTheme="minorHAnsi"/>
                  <w:color w:val="FBD4B4" w:themeColor="accent6" w:themeTint="66"/>
                </w:rPr>
                <w:t>360°</w:t>
              </w:r>
            </w:hyperlink>
            <w:r w:rsidR="00900525" w:rsidRPr="00E63305">
              <w:rPr>
                <w:rFonts w:asciiTheme="minorHAnsi" w:hAnsiTheme="minorHAnsi"/>
                <w:color w:val="FBD4B4" w:themeColor="accent6" w:themeTint="66"/>
              </w:rPr>
              <w:t xml:space="preserve"> </w:t>
            </w:r>
            <w:r w:rsidR="00900525" w:rsidRPr="00E63305">
              <w:rPr>
                <w:rFonts w:asciiTheme="minorHAnsi" w:hAnsiTheme="minorHAnsi"/>
              </w:rPr>
              <w:t xml:space="preserve">Reporting Information: </w:t>
            </w:r>
            <w:r w:rsidR="00900525" w:rsidRPr="00E63305">
              <w:rPr>
                <w:rFonts w:asciiTheme="minorHAnsi" w:hAnsiTheme="minorHAnsi"/>
                <w:b w:val="0"/>
              </w:rPr>
              <w:t>Describe login information, location of manual</w:t>
            </w:r>
            <w:r w:rsidR="00EC2AD3" w:rsidRPr="00E63305">
              <w:rPr>
                <w:rFonts w:asciiTheme="minorHAnsi" w:hAnsiTheme="minorHAnsi"/>
                <w:b w:val="0"/>
              </w:rPr>
              <w:t>,</w:t>
            </w:r>
            <w:r w:rsidR="00900525" w:rsidRPr="00E63305">
              <w:rPr>
                <w:rFonts w:asciiTheme="minorHAnsi" w:hAnsiTheme="minorHAnsi"/>
                <w:b w:val="0"/>
              </w:rPr>
              <w:t xml:space="preserve"> etc.</w:t>
            </w:r>
          </w:p>
        </w:tc>
      </w:tr>
      <w:tr w:rsidR="00900525" w:rsidRPr="00664AE6" w14:paraId="5F7B085C" w14:textId="77777777" w:rsidTr="00664AE6">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E63305" w:rsidRDefault="00900525" w:rsidP="00664AE6">
            <w:pPr>
              <w:autoSpaceDE w:val="0"/>
              <w:autoSpaceDN w:val="0"/>
              <w:adjustRightInd w:val="0"/>
              <w:spacing w:line="240" w:lineRule="auto"/>
              <w:rPr>
                <w:rFonts w:cs="Arial"/>
                <w:color w:val="000000" w:themeColor="text1"/>
                <w:szCs w:val="24"/>
              </w:rPr>
            </w:pPr>
          </w:p>
        </w:tc>
      </w:tr>
      <w:tr w:rsidR="00900525" w:rsidRPr="004976EC" w14:paraId="307F4C96" w14:textId="77777777" w:rsidTr="00664AE6">
        <w:trPr>
          <w:cantSplit/>
          <w:trHeight w:val="20"/>
        </w:trPr>
        <w:tc>
          <w:tcPr>
            <w:tcW w:w="10070" w:type="dxa"/>
            <w:shd w:val="clear" w:color="auto" w:fill="065D8B"/>
          </w:tcPr>
          <w:p w14:paraId="0DFCA62A" w14:textId="57B02CB0" w:rsidR="00900525" w:rsidRPr="00E63305" w:rsidRDefault="00FE54B5" w:rsidP="00FE54B5">
            <w:pPr>
              <w:pStyle w:val="SL-FlLftSgl"/>
              <w:rPr>
                <w:rFonts w:asciiTheme="minorHAnsi" w:hAnsiTheme="minorHAnsi"/>
              </w:rPr>
            </w:pPr>
            <w:r w:rsidRPr="00E63305">
              <w:rPr>
                <w:rFonts w:asciiTheme="minorHAnsi" w:hAnsiTheme="minorHAnsi"/>
              </w:rPr>
              <w:lastRenderedPageBreak/>
              <w:t xml:space="preserve">Data </w:t>
            </w:r>
            <w:r w:rsidR="00900525" w:rsidRPr="00E63305">
              <w:rPr>
                <w:rFonts w:asciiTheme="minorHAnsi" w:hAnsiTheme="minorHAnsi"/>
              </w:rPr>
              <w:t>Stewards:</w:t>
            </w:r>
            <w:r w:rsidR="00900525" w:rsidRPr="00E63305">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664AE6" w14:paraId="7525C4B3" w14:textId="77777777" w:rsidTr="00664AE6">
        <w:trPr>
          <w:cantSplit/>
          <w:trHeight w:val="20"/>
        </w:trPr>
        <w:tc>
          <w:tcPr>
            <w:tcW w:w="10070" w:type="dxa"/>
            <w:tcBorders>
              <w:bottom w:val="single" w:sz="4" w:space="0" w:color="auto"/>
            </w:tcBorders>
          </w:tcPr>
          <w:p w14:paraId="1EA9DA3B" w14:textId="7274CE6F" w:rsidR="00B03951" w:rsidRPr="00E63305" w:rsidRDefault="00B03951" w:rsidP="00664AE6">
            <w:pPr>
              <w:autoSpaceDE w:val="0"/>
              <w:autoSpaceDN w:val="0"/>
              <w:adjustRightInd w:val="0"/>
              <w:spacing w:line="240" w:lineRule="auto"/>
              <w:rPr>
                <w:rFonts w:cs="Arial"/>
                <w:color w:val="000000" w:themeColor="text1"/>
                <w:szCs w:val="24"/>
              </w:rPr>
            </w:pPr>
          </w:p>
        </w:tc>
      </w:tr>
      <w:tr w:rsidR="00900525" w:rsidRPr="004976EC" w14:paraId="785FE997" w14:textId="77777777" w:rsidTr="00664AE6">
        <w:trPr>
          <w:cantSplit/>
          <w:trHeight w:val="20"/>
        </w:trPr>
        <w:tc>
          <w:tcPr>
            <w:tcW w:w="10070" w:type="dxa"/>
            <w:shd w:val="clear" w:color="auto" w:fill="065D8B"/>
          </w:tcPr>
          <w:p w14:paraId="44F7FADE" w14:textId="4F501325" w:rsidR="00900525" w:rsidRPr="00E63305" w:rsidRDefault="00900525" w:rsidP="00533355">
            <w:pPr>
              <w:pStyle w:val="SL-FlLftSgl"/>
              <w:rPr>
                <w:rFonts w:asciiTheme="minorHAnsi" w:hAnsiTheme="minorHAnsi" w:cs="Arial"/>
                <w:b w:val="0"/>
              </w:rPr>
            </w:pPr>
            <w:r w:rsidRPr="00E63305">
              <w:rPr>
                <w:rFonts w:asciiTheme="minorHAnsi" w:hAnsiTheme="minorHAnsi"/>
              </w:rPr>
              <w:t xml:space="preserve">Data Source Description: </w:t>
            </w:r>
            <w:r w:rsidRPr="00E63305">
              <w:rPr>
                <w:rFonts w:asciiTheme="minorHAnsi" w:hAnsiTheme="minorHAnsi" w:cs="Arial"/>
                <w:b w:val="0"/>
              </w:rPr>
              <w:t>P</w:t>
            </w:r>
            <w:r w:rsidRPr="00E63305">
              <w:rPr>
                <w:rFonts w:asciiTheme="minorHAnsi" w:hAnsiTheme="minorHAnsi"/>
                <w:b w:val="0"/>
              </w:rPr>
              <w:t>rovide a short description of the database or data system</w:t>
            </w:r>
            <w:r w:rsidR="00533355" w:rsidRPr="00E63305">
              <w:rPr>
                <w:rFonts w:asciiTheme="minorHAnsi" w:hAnsiTheme="minorHAnsi"/>
                <w:b w:val="0"/>
              </w:rPr>
              <w:t xml:space="preserve"> </w:t>
            </w:r>
            <w:r w:rsidR="00546552" w:rsidRPr="00E63305">
              <w:rPr>
                <w:rFonts w:asciiTheme="minorHAnsi" w:hAnsiTheme="minorHAnsi"/>
                <w:b w:val="0"/>
              </w:rPr>
              <w:t>your</w:t>
            </w:r>
            <w:r w:rsidR="00533355" w:rsidRPr="00E63305">
              <w:rPr>
                <w:rFonts w:asciiTheme="minorHAnsi" w:hAnsiTheme="minorHAnsi"/>
                <w:b w:val="0"/>
              </w:rPr>
              <w:t xml:space="preserve"> state</w:t>
            </w:r>
            <w:r w:rsidRPr="00E63305">
              <w:rPr>
                <w:rFonts w:asciiTheme="minorHAnsi" w:hAnsiTheme="minorHAnsi"/>
                <w:b w:val="0"/>
              </w:rPr>
              <w:t xml:space="preserve"> use</w:t>
            </w:r>
            <w:r w:rsidR="00533355" w:rsidRPr="00E63305">
              <w:rPr>
                <w:rFonts w:asciiTheme="minorHAnsi" w:hAnsiTheme="minorHAnsi"/>
                <w:b w:val="0"/>
              </w:rPr>
              <w:t>s</w:t>
            </w:r>
            <w:r w:rsidRPr="00E63305">
              <w:rPr>
                <w:rFonts w:asciiTheme="minorHAnsi" w:hAnsiTheme="minorHAnsi"/>
                <w:b w:val="0"/>
              </w:rPr>
              <w:t xml:space="preserve"> to </w:t>
            </w:r>
            <w:r w:rsidR="00224864" w:rsidRPr="00E63305">
              <w:rPr>
                <w:rFonts w:asciiTheme="minorHAnsi" w:hAnsiTheme="minorHAnsi"/>
                <w:b w:val="0"/>
              </w:rPr>
              <w:t>process data for this</w:t>
            </w:r>
            <w:r w:rsidRPr="00E63305">
              <w:rPr>
                <w:rFonts w:asciiTheme="minorHAnsi" w:hAnsiTheme="minorHAnsi"/>
                <w:b w:val="0"/>
              </w:rPr>
              <w:t xml:space="preserve"> indicat</w:t>
            </w:r>
            <w:r w:rsidR="00E160BE" w:rsidRPr="00E63305">
              <w:rPr>
                <w:rFonts w:asciiTheme="minorHAnsi" w:hAnsiTheme="minorHAnsi"/>
                <w:b w:val="0"/>
              </w:rPr>
              <w:t>or</w:t>
            </w:r>
            <w:r w:rsidR="00A00B9E" w:rsidRPr="00E63305">
              <w:rPr>
                <w:rFonts w:asciiTheme="minorHAnsi" w:hAnsiTheme="minorHAnsi"/>
                <w:b w:val="0"/>
              </w:rPr>
              <w:t>.</w:t>
            </w:r>
            <w:r w:rsidR="00A00B9E" w:rsidRPr="00E63305">
              <w:rPr>
                <w:rFonts w:asciiTheme="minorHAnsi" w:hAnsiTheme="minorHAnsi"/>
                <w:b w:val="0"/>
                <w:color w:val="FF0000"/>
              </w:rPr>
              <w:t xml:space="preserve"> </w:t>
            </w:r>
            <w:r w:rsidR="00ED63AC" w:rsidRPr="00E63305">
              <w:rPr>
                <w:rFonts w:asciiTheme="minorHAnsi" w:hAnsiTheme="minorHAnsi"/>
                <w:b w:val="0"/>
              </w:rPr>
              <w:t>Consider connecting to 618 data protocol for description of data.</w:t>
            </w:r>
          </w:p>
        </w:tc>
      </w:tr>
      <w:tr w:rsidR="00353D8D" w:rsidRPr="00664AE6" w14:paraId="246F2165" w14:textId="77777777" w:rsidTr="00664AE6">
        <w:trPr>
          <w:cantSplit/>
          <w:trHeight w:val="20"/>
        </w:trPr>
        <w:tc>
          <w:tcPr>
            <w:tcW w:w="10070" w:type="dxa"/>
            <w:shd w:val="clear" w:color="auto" w:fill="82AEC5"/>
          </w:tcPr>
          <w:p w14:paraId="17B33451" w14:textId="50EEE9FF" w:rsidR="007A6619" w:rsidRPr="00E63305" w:rsidRDefault="00664AE6" w:rsidP="00664AE6">
            <w:pPr>
              <w:autoSpaceDE w:val="0"/>
              <w:autoSpaceDN w:val="0"/>
              <w:adjustRightInd w:val="0"/>
              <w:spacing w:line="240" w:lineRule="auto"/>
              <w:ind w:left="533" w:hanging="533"/>
              <w:rPr>
                <w:rFonts w:cs="Arial"/>
                <w:szCs w:val="24"/>
              </w:rPr>
            </w:pPr>
            <w:r w:rsidRPr="00E63305">
              <w:rPr>
                <w:szCs w:val="24"/>
              </w:rPr>
              <w:t>3</w:t>
            </w:r>
            <w:r w:rsidR="007A6619" w:rsidRPr="00E63305">
              <w:rPr>
                <w:szCs w:val="24"/>
              </w:rPr>
              <w:t>B:</w:t>
            </w:r>
            <w:r w:rsidRPr="00E63305">
              <w:rPr>
                <w:b/>
                <w:szCs w:val="24"/>
              </w:rPr>
              <w:tab/>
            </w:r>
            <w:r w:rsidR="006E532E" w:rsidRPr="00E63305">
              <w:rPr>
                <w:rFonts w:cs="Arial"/>
                <w:szCs w:val="24"/>
              </w:rPr>
              <w:t xml:space="preserve">Same data </w:t>
            </w:r>
            <w:r w:rsidR="00546552" w:rsidRPr="00E63305">
              <w:rPr>
                <w:rFonts w:cs="Arial"/>
                <w:szCs w:val="24"/>
              </w:rPr>
              <w:t>your</w:t>
            </w:r>
            <w:r w:rsidR="007F5F19" w:rsidRPr="00E63305">
              <w:rPr>
                <w:rFonts w:cs="Arial"/>
                <w:szCs w:val="24"/>
              </w:rPr>
              <w:t xml:space="preserve"> state uses </w:t>
            </w:r>
            <w:r w:rsidR="006E532E" w:rsidRPr="00E63305">
              <w:rPr>
                <w:rFonts w:cs="Arial"/>
                <w:szCs w:val="24"/>
              </w:rPr>
              <w:t>for reporting to the Department under Title I of the ESEA</w:t>
            </w:r>
            <w:r w:rsidR="001E63A4">
              <w:rPr>
                <w:rFonts w:cs="Arial"/>
                <w:szCs w:val="24"/>
              </w:rPr>
              <w:t>.</w:t>
            </w:r>
          </w:p>
          <w:p w14:paraId="5E3C9832" w14:textId="18A40317" w:rsidR="006E532E" w:rsidRPr="00E63305" w:rsidRDefault="00353D8D" w:rsidP="00664AE6">
            <w:pPr>
              <w:pStyle w:val="SL-FlLftSgl"/>
              <w:ind w:left="1410" w:hanging="1410"/>
              <w:rPr>
                <w:rFonts w:asciiTheme="minorHAnsi" w:hAnsiTheme="minorHAnsi"/>
                <w:b w:val="0"/>
                <w:color w:val="auto"/>
              </w:rPr>
            </w:pPr>
            <w:proofErr w:type="spellStart"/>
            <w:r w:rsidRPr="00E63305">
              <w:rPr>
                <w:rFonts w:asciiTheme="minorHAnsi" w:hAnsiTheme="minorHAnsi"/>
                <w:color w:val="auto"/>
              </w:rPr>
              <w:t>ED</w:t>
            </w:r>
            <w:r w:rsidRPr="00E63305">
              <w:rPr>
                <w:rFonts w:asciiTheme="minorHAnsi" w:hAnsiTheme="minorHAnsi"/>
                <w:i/>
                <w:color w:val="auto"/>
              </w:rPr>
              <w:t>Facts</w:t>
            </w:r>
            <w:proofErr w:type="spellEnd"/>
            <w:r w:rsidRPr="00E63305">
              <w:rPr>
                <w:rFonts w:asciiTheme="minorHAnsi" w:hAnsiTheme="minorHAnsi"/>
                <w:i/>
                <w:color w:val="auto"/>
              </w:rPr>
              <w:t xml:space="preserve"> </w:t>
            </w:r>
            <w:r w:rsidRPr="00E63305">
              <w:rPr>
                <w:rFonts w:asciiTheme="minorHAnsi" w:hAnsiTheme="minorHAnsi"/>
                <w:color w:val="auto"/>
              </w:rPr>
              <w:t>file</w:t>
            </w:r>
            <w:r w:rsidR="007A6619" w:rsidRPr="00E63305">
              <w:rPr>
                <w:rFonts w:asciiTheme="minorHAnsi" w:hAnsiTheme="minorHAnsi"/>
                <w:color w:val="auto"/>
              </w:rPr>
              <w:t>s:</w:t>
            </w:r>
            <w:r w:rsidR="00664AE6" w:rsidRPr="00E63305">
              <w:rPr>
                <w:rFonts w:asciiTheme="minorHAnsi" w:hAnsiTheme="minorHAnsi"/>
                <w:color w:val="auto"/>
              </w:rPr>
              <w:tab/>
            </w:r>
            <w:r w:rsidR="0096125C" w:rsidRPr="00E63305">
              <w:rPr>
                <w:rFonts w:asciiTheme="minorHAnsi" w:hAnsiTheme="minorHAnsi" w:cs="Helvetica"/>
                <w:b w:val="0"/>
                <w:color w:val="000000" w:themeColor="text1"/>
              </w:rPr>
              <w:t>FS</w:t>
            </w:r>
            <w:r w:rsidR="007A6619" w:rsidRPr="00E63305">
              <w:rPr>
                <w:rFonts w:asciiTheme="minorHAnsi" w:hAnsiTheme="minorHAnsi" w:cs="Helvetica"/>
                <w:b w:val="0"/>
                <w:color w:val="000000" w:themeColor="text1"/>
              </w:rPr>
              <w:t>185</w:t>
            </w:r>
            <w:r w:rsidR="007A6619" w:rsidRPr="00E63305">
              <w:rPr>
                <w:rFonts w:asciiTheme="minorHAnsi" w:hAnsiTheme="minorHAnsi"/>
                <w:b w:val="0"/>
                <w:color w:val="auto"/>
              </w:rPr>
              <w:t>—</w:t>
            </w:r>
            <w:r w:rsidR="007A6619" w:rsidRPr="00E63305">
              <w:rPr>
                <w:rFonts w:asciiTheme="minorHAnsi" w:hAnsiTheme="minorHAnsi" w:cs="Helvetica"/>
                <w:b w:val="0"/>
                <w:color w:val="000000" w:themeColor="text1"/>
              </w:rPr>
              <w:t>Assessme</w:t>
            </w:r>
            <w:r w:rsidR="006E532E" w:rsidRPr="00E63305">
              <w:rPr>
                <w:rFonts w:asciiTheme="minorHAnsi" w:hAnsiTheme="minorHAnsi" w:cs="Helvetica"/>
                <w:b w:val="0"/>
                <w:color w:val="000000" w:themeColor="text1"/>
              </w:rPr>
              <w:t>nt</w:t>
            </w:r>
            <w:r w:rsidR="006E532E" w:rsidRPr="00E63305">
              <w:rPr>
                <w:rFonts w:asciiTheme="minorHAnsi" w:hAnsiTheme="minorHAnsi"/>
                <w:b w:val="0"/>
                <w:color w:val="auto"/>
              </w:rPr>
              <w:t xml:space="preserve"> Participation in Mathematics</w:t>
            </w:r>
          </w:p>
          <w:p w14:paraId="7F70D9DB" w14:textId="05AFF913" w:rsidR="00353D8D" w:rsidRPr="00E63305" w:rsidRDefault="00664AE6" w:rsidP="001B5FC1">
            <w:pPr>
              <w:pStyle w:val="SL-FlLftSgl"/>
              <w:spacing w:after="120"/>
              <w:ind w:left="1411" w:hanging="1411"/>
              <w:rPr>
                <w:rFonts w:asciiTheme="minorHAnsi" w:hAnsiTheme="minorHAnsi"/>
                <w:b w:val="0"/>
                <w:color w:val="auto"/>
              </w:rPr>
            </w:pPr>
            <w:r w:rsidRPr="00E63305">
              <w:rPr>
                <w:rFonts w:asciiTheme="minorHAnsi" w:hAnsiTheme="minorHAnsi"/>
                <w:b w:val="0"/>
                <w:color w:val="auto"/>
              </w:rPr>
              <w:tab/>
            </w:r>
            <w:r w:rsidR="0096125C" w:rsidRPr="00E63305">
              <w:rPr>
                <w:rFonts w:asciiTheme="minorHAnsi" w:hAnsiTheme="minorHAnsi"/>
                <w:b w:val="0"/>
                <w:color w:val="auto"/>
              </w:rPr>
              <w:t>FS</w:t>
            </w:r>
            <w:r w:rsidR="007A6619" w:rsidRPr="00E63305">
              <w:rPr>
                <w:rFonts w:asciiTheme="minorHAnsi" w:hAnsiTheme="minorHAnsi"/>
                <w:b w:val="0"/>
                <w:color w:val="auto"/>
              </w:rPr>
              <w:t xml:space="preserve">188—Assessment </w:t>
            </w:r>
            <w:r w:rsidR="007A6619" w:rsidRPr="00E63305">
              <w:rPr>
                <w:rFonts w:asciiTheme="minorHAnsi" w:hAnsiTheme="minorHAnsi" w:cs="Helvetica"/>
                <w:b w:val="0"/>
                <w:color w:val="000000" w:themeColor="text1"/>
              </w:rPr>
              <w:t>Participation</w:t>
            </w:r>
            <w:r w:rsidR="007A6619" w:rsidRPr="00E63305">
              <w:rPr>
                <w:rFonts w:asciiTheme="minorHAnsi" w:hAnsiTheme="minorHAnsi"/>
                <w:b w:val="0"/>
                <w:color w:val="auto"/>
              </w:rPr>
              <w:t xml:space="preserve"> in Reading/Language Arts</w:t>
            </w:r>
          </w:p>
          <w:p w14:paraId="747C933B" w14:textId="4AF3068C" w:rsidR="007A6619" w:rsidRPr="00E63305" w:rsidRDefault="00664AE6" w:rsidP="00664AE6">
            <w:pPr>
              <w:autoSpaceDE w:val="0"/>
              <w:autoSpaceDN w:val="0"/>
              <w:adjustRightInd w:val="0"/>
              <w:spacing w:line="240" w:lineRule="auto"/>
              <w:ind w:left="533" w:hanging="533"/>
              <w:rPr>
                <w:szCs w:val="24"/>
              </w:rPr>
            </w:pPr>
            <w:r w:rsidRPr="00E63305">
              <w:rPr>
                <w:szCs w:val="24"/>
              </w:rPr>
              <w:t>3</w:t>
            </w:r>
            <w:r w:rsidR="007A6619" w:rsidRPr="00E63305">
              <w:rPr>
                <w:szCs w:val="24"/>
              </w:rPr>
              <w:t>C:</w:t>
            </w:r>
            <w:r w:rsidRPr="00E63305">
              <w:rPr>
                <w:b/>
                <w:szCs w:val="24"/>
              </w:rPr>
              <w:tab/>
            </w:r>
            <w:r w:rsidR="00FF1D55" w:rsidRPr="00E63305">
              <w:rPr>
                <w:rFonts w:cs="Arial"/>
                <w:color w:val="000000" w:themeColor="text1"/>
                <w:szCs w:val="24"/>
              </w:rPr>
              <w:t>Same</w:t>
            </w:r>
            <w:r w:rsidR="00FF1D55" w:rsidRPr="00E63305">
              <w:rPr>
                <w:rFonts w:cs="Arial"/>
                <w:szCs w:val="24"/>
              </w:rPr>
              <w:t xml:space="preserve"> data </w:t>
            </w:r>
            <w:r w:rsidR="00546552" w:rsidRPr="00E63305">
              <w:rPr>
                <w:rFonts w:cs="Arial"/>
                <w:szCs w:val="24"/>
              </w:rPr>
              <w:t>your</w:t>
            </w:r>
            <w:r w:rsidR="007F5F19" w:rsidRPr="00E63305">
              <w:rPr>
                <w:rFonts w:cs="Arial"/>
                <w:szCs w:val="24"/>
              </w:rPr>
              <w:t xml:space="preserve"> state uses </w:t>
            </w:r>
            <w:r w:rsidR="00FF1D55" w:rsidRPr="00E63305">
              <w:rPr>
                <w:rFonts w:cs="Arial"/>
                <w:szCs w:val="24"/>
              </w:rPr>
              <w:t>for reporting to the Department under Title I of the ESEA.</w:t>
            </w:r>
            <w:r w:rsidR="007A6619" w:rsidRPr="00E63305">
              <w:rPr>
                <w:szCs w:val="24"/>
              </w:rPr>
              <w:t xml:space="preserve"> </w:t>
            </w:r>
          </w:p>
          <w:p w14:paraId="6F2E3110" w14:textId="3BFEC97E" w:rsidR="007A6619" w:rsidRPr="00E63305" w:rsidRDefault="00353D8D" w:rsidP="00664AE6">
            <w:pPr>
              <w:pStyle w:val="SL-FlLftSgl"/>
              <w:ind w:left="1410" w:hanging="1410"/>
              <w:rPr>
                <w:rFonts w:asciiTheme="minorHAnsi" w:hAnsiTheme="minorHAnsi"/>
                <w:b w:val="0"/>
                <w:color w:val="auto"/>
              </w:rPr>
            </w:pPr>
            <w:proofErr w:type="spellStart"/>
            <w:r w:rsidRPr="00E63305">
              <w:rPr>
                <w:rFonts w:asciiTheme="minorHAnsi" w:hAnsiTheme="minorHAnsi"/>
                <w:color w:val="auto"/>
              </w:rPr>
              <w:t>ED</w:t>
            </w:r>
            <w:r w:rsidRPr="00E63305">
              <w:rPr>
                <w:rFonts w:asciiTheme="minorHAnsi" w:hAnsiTheme="minorHAnsi"/>
                <w:i/>
                <w:color w:val="auto"/>
              </w:rPr>
              <w:t>Facts</w:t>
            </w:r>
            <w:proofErr w:type="spellEnd"/>
            <w:r w:rsidRPr="00E63305">
              <w:rPr>
                <w:rFonts w:asciiTheme="minorHAnsi" w:hAnsiTheme="minorHAnsi"/>
                <w:color w:val="auto"/>
              </w:rPr>
              <w:t xml:space="preserve"> file</w:t>
            </w:r>
            <w:r w:rsidR="007A6619" w:rsidRPr="00E63305">
              <w:rPr>
                <w:rFonts w:asciiTheme="minorHAnsi" w:hAnsiTheme="minorHAnsi"/>
                <w:color w:val="auto"/>
              </w:rPr>
              <w:t>s:</w:t>
            </w:r>
            <w:r w:rsidR="00664AE6" w:rsidRPr="00E63305">
              <w:rPr>
                <w:rFonts w:asciiTheme="minorHAnsi" w:hAnsiTheme="minorHAnsi"/>
                <w:color w:val="auto"/>
              </w:rPr>
              <w:tab/>
            </w:r>
            <w:r w:rsidR="0096125C" w:rsidRPr="00E63305">
              <w:rPr>
                <w:rFonts w:asciiTheme="minorHAnsi" w:hAnsiTheme="minorHAnsi"/>
                <w:b w:val="0"/>
                <w:color w:val="auto"/>
              </w:rPr>
              <w:t>FS</w:t>
            </w:r>
            <w:r w:rsidR="007A6619" w:rsidRPr="00E63305">
              <w:rPr>
                <w:rFonts w:asciiTheme="minorHAnsi" w:hAnsiTheme="minorHAnsi"/>
                <w:b w:val="0"/>
                <w:color w:val="auto"/>
              </w:rPr>
              <w:t>175—</w:t>
            </w:r>
            <w:r w:rsidR="007A6619" w:rsidRPr="00E63305">
              <w:rPr>
                <w:rFonts w:asciiTheme="minorHAnsi" w:hAnsiTheme="minorHAnsi" w:cs="Helvetica"/>
                <w:b w:val="0"/>
                <w:color w:val="000000" w:themeColor="text1"/>
              </w:rPr>
              <w:t>Academic</w:t>
            </w:r>
            <w:r w:rsidR="007A6619" w:rsidRPr="00E63305">
              <w:rPr>
                <w:rFonts w:asciiTheme="minorHAnsi" w:hAnsiTheme="minorHAnsi"/>
                <w:b w:val="0"/>
                <w:color w:val="auto"/>
              </w:rPr>
              <w:t xml:space="preserve"> Achievement in Mathematics </w:t>
            </w:r>
          </w:p>
          <w:p w14:paraId="58C54EDC" w14:textId="54408259" w:rsidR="00353D8D" w:rsidRPr="00E63305" w:rsidRDefault="00664AE6" w:rsidP="00533355">
            <w:pPr>
              <w:pStyle w:val="SL-FlLftSgl"/>
              <w:ind w:left="1410" w:hanging="1410"/>
              <w:rPr>
                <w:rFonts w:asciiTheme="minorHAnsi" w:hAnsiTheme="minorHAnsi"/>
                <w:b w:val="0"/>
                <w:color w:val="auto"/>
              </w:rPr>
            </w:pPr>
            <w:r w:rsidRPr="00E63305">
              <w:rPr>
                <w:rFonts w:asciiTheme="minorHAnsi" w:hAnsiTheme="minorHAnsi"/>
                <w:b w:val="0"/>
                <w:color w:val="auto"/>
              </w:rPr>
              <w:tab/>
            </w:r>
            <w:r w:rsidR="0096125C" w:rsidRPr="00E63305">
              <w:rPr>
                <w:rFonts w:asciiTheme="minorHAnsi" w:hAnsiTheme="minorHAnsi"/>
                <w:b w:val="0"/>
                <w:color w:val="auto"/>
              </w:rPr>
              <w:t>FS</w:t>
            </w:r>
            <w:r w:rsidR="007A6619" w:rsidRPr="00E63305">
              <w:rPr>
                <w:rFonts w:asciiTheme="minorHAnsi" w:hAnsiTheme="minorHAnsi"/>
                <w:b w:val="0"/>
                <w:color w:val="auto"/>
              </w:rPr>
              <w:t>178—Academic Achievement in Reading (Language Arts)</w:t>
            </w:r>
          </w:p>
        </w:tc>
      </w:tr>
      <w:tr w:rsidR="00900525" w:rsidRPr="00664AE6" w14:paraId="6AA99A3A" w14:textId="77777777" w:rsidTr="00664AE6">
        <w:trPr>
          <w:cantSplit/>
          <w:trHeight w:val="20"/>
        </w:trPr>
        <w:tc>
          <w:tcPr>
            <w:tcW w:w="10070" w:type="dxa"/>
            <w:tcBorders>
              <w:bottom w:val="single" w:sz="4" w:space="0" w:color="auto"/>
            </w:tcBorders>
            <w:shd w:val="clear" w:color="auto" w:fill="auto"/>
          </w:tcPr>
          <w:p w14:paraId="129148FC" w14:textId="0D6C0690" w:rsidR="00ED63AC" w:rsidRPr="00E63305" w:rsidRDefault="00ED63AC" w:rsidP="00664AE6">
            <w:pPr>
              <w:autoSpaceDE w:val="0"/>
              <w:autoSpaceDN w:val="0"/>
              <w:adjustRightInd w:val="0"/>
              <w:spacing w:line="240" w:lineRule="auto"/>
              <w:rPr>
                <w:rFonts w:cs="Arial"/>
                <w:color w:val="000000" w:themeColor="text1"/>
                <w:szCs w:val="24"/>
              </w:rPr>
            </w:pPr>
          </w:p>
        </w:tc>
      </w:tr>
      <w:tr w:rsidR="00900525" w:rsidRPr="004976EC" w14:paraId="0CC470AA" w14:textId="77777777" w:rsidTr="00664AE6">
        <w:trPr>
          <w:cantSplit/>
          <w:trHeight w:val="20"/>
        </w:trPr>
        <w:tc>
          <w:tcPr>
            <w:tcW w:w="10070" w:type="dxa"/>
            <w:shd w:val="clear" w:color="auto" w:fill="065D8B"/>
          </w:tcPr>
          <w:p w14:paraId="00245458" w14:textId="62FFB567" w:rsidR="00900525" w:rsidRPr="00E63305" w:rsidRDefault="00900525" w:rsidP="00891FC8">
            <w:pPr>
              <w:pStyle w:val="SL-FlLftSgl"/>
              <w:rPr>
                <w:rFonts w:asciiTheme="minorHAnsi" w:hAnsiTheme="minorHAnsi"/>
              </w:rPr>
            </w:pPr>
            <w:r w:rsidRPr="00E63305">
              <w:rPr>
                <w:rFonts w:asciiTheme="minorHAnsi" w:hAnsiTheme="minorHAnsi"/>
              </w:rPr>
              <w:t xml:space="preserve">State Collection and Submission Schedule: </w:t>
            </w:r>
            <w:r w:rsidR="00E160BE" w:rsidRPr="00E63305">
              <w:rPr>
                <w:rFonts w:asciiTheme="minorHAnsi" w:hAnsiTheme="minorHAnsi"/>
                <w:b w:val="0"/>
              </w:rPr>
              <w:t>Provide a list of dates necessary for this data collection</w:t>
            </w:r>
            <w:r w:rsidR="00EC2AD3" w:rsidRPr="00E63305">
              <w:rPr>
                <w:rFonts w:asciiTheme="minorHAnsi" w:hAnsiTheme="minorHAnsi"/>
                <w:b w:val="0"/>
              </w:rPr>
              <w:t>,</w:t>
            </w:r>
            <w:r w:rsidR="00E160BE" w:rsidRPr="00E63305">
              <w:rPr>
                <w:rFonts w:asciiTheme="minorHAnsi" w:hAnsiTheme="minorHAnsi"/>
                <w:b w:val="0"/>
              </w:rPr>
              <w:t xml:space="preserve"> including when the data collection period opens, when data are due from the local education agencies (LEAs),</w:t>
            </w:r>
            <w:r w:rsidR="00AD6E96" w:rsidRPr="00E63305">
              <w:rPr>
                <w:rFonts w:asciiTheme="minorHAnsi" w:hAnsiTheme="minorHAnsi"/>
                <w:b w:val="0"/>
              </w:rPr>
              <w:t xml:space="preserve"> and</w:t>
            </w:r>
            <w:r w:rsidR="00E160BE" w:rsidRPr="00E63305">
              <w:rPr>
                <w:rFonts w:asciiTheme="minorHAnsi" w:hAnsiTheme="minorHAnsi"/>
                <w:b w:val="0"/>
              </w:rPr>
              <w:t xml:space="preserve"> </w:t>
            </w:r>
            <w:r w:rsidR="00546552" w:rsidRPr="00E63305">
              <w:rPr>
                <w:rFonts w:asciiTheme="minorHAnsi" w:hAnsiTheme="minorHAnsi"/>
                <w:b w:val="0"/>
              </w:rPr>
              <w:t>when assigned staff pull the data after the collection closes.</w:t>
            </w:r>
          </w:p>
        </w:tc>
      </w:tr>
      <w:tr w:rsidR="00900525" w:rsidRPr="00664AE6" w14:paraId="404BDE4F" w14:textId="77777777" w:rsidTr="00664AE6">
        <w:trPr>
          <w:cantSplit/>
          <w:trHeight w:val="20"/>
        </w:trPr>
        <w:tc>
          <w:tcPr>
            <w:tcW w:w="10070" w:type="dxa"/>
            <w:shd w:val="clear" w:color="auto" w:fill="auto"/>
          </w:tcPr>
          <w:p w14:paraId="6722E22E" w14:textId="396676E7" w:rsidR="00B03951" w:rsidRPr="00E63305" w:rsidRDefault="00B03951" w:rsidP="00664AE6">
            <w:pPr>
              <w:autoSpaceDE w:val="0"/>
              <w:autoSpaceDN w:val="0"/>
              <w:adjustRightInd w:val="0"/>
              <w:spacing w:line="240" w:lineRule="auto"/>
              <w:rPr>
                <w:rFonts w:cs="Arial"/>
                <w:color w:val="000000" w:themeColor="text1"/>
                <w:szCs w:val="24"/>
              </w:rPr>
            </w:pPr>
          </w:p>
        </w:tc>
      </w:tr>
    </w:tbl>
    <w:p w14:paraId="5863448E" w14:textId="77777777" w:rsidR="00664AE6" w:rsidRDefault="00664AE6">
      <w:pPr>
        <w:spacing w:line="240" w:lineRule="auto"/>
        <w:rPr>
          <w:b/>
          <w:color w:val="199387"/>
          <w:sz w:val="40"/>
          <w:szCs w:val="40"/>
        </w:rPr>
      </w:pPr>
      <w:r>
        <w:rPr>
          <w:color w:val="199387"/>
        </w:rPr>
        <w:br w:type="page"/>
      </w:r>
    </w:p>
    <w:p w14:paraId="3FD8A4F9" w14:textId="36579105" w:rsidR="00FA3124" w:rsidRPr="00664AE6" w:rsidRDefault="00FA3124" w:rsidP="00664AE6">
      <w:pPr>
        <w:pStyle w:val="C1-CtrBoldHd"/>
        <w:spacing w:after="240"/>
        <w:rPr>
          <w:rFonts w:asciiTheme="minorHAnsi" w:hAnsiTheme="minorHAnsi"/>
          <w:color w:val="199387"/>
        </w:rPr>
      </w:pPr>
      <w:r w:rsidRPr="00664AE6">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5ED0E33A" w14:textId="77777777" w:rsidTr="00664AE6">
        <w:trPr>
          <w:cantSplit/>
          <w:trHeight w:val="20"/>
        </w:trPr>
        <w:tc>
          <w:tcPr>
            <w:tcW w:w="10070" w:type="dxa"/>
            <w:shd w:val="clear" w:color="auto" w:fill="065D8B"/>
          </w:tcPr>
          <w:p w14:paraId="753DCC3B" w14:textId="149537B0" w:rsidR="00E2128C" w:rsidRPr="000022FC" w:rsidRDefault="000A5F35" w:rsidP="009B2B29">
            <w:pPr>
              <w:pStyle w:val="SL-FlLftSgl"/>
              <w:rPr>
                <w:rFonts w:asciiTheme="minorHAnsi" w:hAnsiTheme="minorHAnsi"/>
                <w:b w:val="0"/>
              </w:rPr>
            </w:pPr>
            <w:r w:rsidRPr="00546552">
              <w:rPr>
                <w:rFonts w:asciiTheme="minorHAnsi" w:hAnsiTheme="minorHAnsi"/>
              </w:rPr>
              <w:t>Collection:</w:t>
            </w:r>
            <w:r w:rsidRPr="000022FC">
              <w:rPr>
                <w:rFonts w:asciiTheme="minorHAnsi" w:hAnsiTheme="minorHAnsi"/>
                <w:b w:val="0"/>
              </w:rPr>
              <w:t xml:space="preserve"> </w:t>
            </w:r>
            <w:r w:rsidR="00AD6E96" w:rsidRPr="004976EC">
              <w:rPr>
                <w:rFonts w:asciiTheme="minorHAnsi" w:hAnsiTheme="minorHAnsi"/>
                <w:b w:val="0"/>
              </w:rPr>
              <w:t>Provid</w:t>
            </w:r>
            <w:r w:rsidR="00AD6E96">
              <w:rPr>
                <w:rFonts w:asciiTheme="minorHAnsi" w:hAnsiTheme="minorHAnsi"/>
                <w:b w:val="0"/>
              </w:rPr>
              <w:t>e detailed information about the origin and collection of the data, including titles of persons responsible.</w:t>
            </w:r>
          </w:p>
        </w:tc>
      </w:tr>
      <w:tr w:rsidR="00353D8D" w:rsidRPr="004976EC" w14:paraId="70BF8C2B" w14:textId="77777777" w:rsidTr="00664AE6">
        <w:trPr>
          <w:cantSplit/>
          <w:trHeight w:val="20"/>
        </w:trPr>
        <w:tc>
          <w:tcPr>
            <w:tcW w:w="10070" w:type="dxa"/>
            <w:shd w:val="clear" w:color="auto" w:fill="82AEC5"/>
          </w:tcPr>
          <w:p w14:paraId="0435BD3A" w14:textId="4D4561B7" w:rsidR="00353D8D" w:rsidRPr="000022FC" w:rsidRDefault="00353D8D" w:rsidP="00353D8D">
            <w:pPr>
              <w:pStyle w:val="SL-FlLftSgl"/>
              <w:rPr>
                <w:rFonts w:asciiTheme="minorHAnsi" w:hAnsiTheme="minorHAnsi"/>
                <w:b w:val="0"/>
                <w:color w:val="auto"/>
              </w:rPr>
            </w:pPr>
            <w:r w:rsidRPr="000022FC">
              <w:rPr>
                <w:rFonts w:asciiTheme="minorHAnsi" w:hAnsiTheme="minorHAnsi"/>
                <w:b w:val="0"/>
                <w:color w:val="auto"/>
              </w:rPr>
              <w:t xml:space="preserve">States are encouraged to present their </w:t>
            </w:r>
            <w:r w:rsidR="00EC2AD3" w:rsidRPr="000022FC">
              <w:rPr>
                <w:rFonts w:asciiTheme="minorHAnsi" w:hAnsiTheme="minorHAnsi"/>
                <w:b w:val="0"/>
                <w:color w:val="auto"/>
              </w:rPr>
              <w:t>State Performance Plan/Annual Performance Report (</w:t>
            </w:r>
            <w:r w:rsidRPr="000022FC">
              <w:rPr>
                <w:rFonts w:asciiTheme="minorHAnsi" w:hAnsiTheme="minorHAnsi"/>
                <w:b w:val="0"/>
                <w:color w:val="auto"/>
              </w:rPr>
              <w:t>SPP/APR</w:t>
            </w:r>
            <w:r w:rsidR="00EC2AD3" w:rsidRPr="000022FC">
              <w:rPr>
                <w:rFonts w:asciiTheme="minorHAnsi" w:hAnsiTheme="minorHAnsi"/>
                <w:b w:val="0"/>
                <w:color w:val="auto"/>
              </w:rPr>
              <w:t>)</w:t>
            </w:r>
            <w:r w:rsidRPr="000022FC">
              <w:rPr>
                <w:rFonts w:asciiTheme="minorHAnsi" w:hAnsiTheme="minorHAnsi"/>
                <w:b w:val="0"/>
                <w:color w:val="auto"/>
              </w:rPr>
              <w:t xml:space="preserve"> information in summary tables and include multiple</w:t>
            </w:r>
            <w:r w:rsidR="00EC2AD3" w:rsidRPr="000022FC">
              <w:rPr>
                <w:rFonts w:asciiTheme="minorHAnsi" w:hAnsiTheme="minorHAnsi"/>
                <w:b w:val="0"/>
                <w:color w:val="auto"/>
              </w:rPr>
              <w:t xml:space="preserve"> </w:t>
            </w:r>
            <w:r w:rsidRPr="000022FC">
              <w:rPr>
                <w:rFonts w:asciiTheme="minorHAnsi" w:hAnsiTheme="minorHAnsi"/>
                <w:b w:val="0"/>
                <w:color w:val="auto"/>
              </w:rPr>
              <w:t>years of data for comparison purposes.</w:t>
            </w:r>
          </w:p>
          <w:p w14:paraId="3D8DA70B" w14:textId="7D549F5C" w:rsidR="00C26C99" w:rsidRPr="00664AE6" w:rsidRDefault="00664AE6" w:rsidP="00664AE6">
            <w:pPr>
              <w:autoSpaceDE w:val="0"/>
              <w:autoSpaceDN w:val="0"/>
              <w:adjustRightInd w:val="0"/>
              <w:spacing w:after="120" w:line="240" w:lineRule="auto"/>
              <w:ind w:left="537" w:hanging="537"/>
              <w:rPr>
                <w:rFonts w:cs="Arial"/>
                <w:color w:val="000000" w:themeColor="text1"/>
                <w:szCs w:val="24"/>
              </w:rPr>
            </w:pPr>
            <w:r w:rsidRPr="00664AE6">
              <w:t>3</w:t>
            </w:r>
            <w:r w:rsidR="00C26C99" w:rsidRPr="000022FC">
              <w:t>B:</w:t>
            </w:r>
            <w:r>
              <w:tab/>
            </w:r>
            <w:r w:rsidR="00C26C99" w:rsidRPr="000022FC">
              <w:t>Provide separate reading/language arts and mathematics participation rates, inclusive of</w:t>
            </w:r>
            <w:r w:rsidR="000022FC">
              <w:t xml:space="preserve"> </w:t>
            </w:r>
            <w:r w:rsidR="00C26C99" w:rsidRPr="000022FC">
              <w:t xml:space="preserve">all ESEA </w:t>
            </w:r>
            <w:r w:rsidR="00C26C99" w:rsidRPr="00664AE6">
              <w:rPr>
                <w:rFonts w:cs="Arial"/>
                <w:color w:val="000000" w:themeColor="text1"/>
                <w:szCs w:val="24"/>
              </w:rPr>
              <w:t>grades assessed (3</w:t>
            </w:r>
            <w:r>
              <w:rPr>
                <w:rFonts w:cs="Arial"/>
                <w:color w:val="000000" w:themeColor="text1"/>
                <w:szCs w:val="24"/>
              </w:rPr>
              <w:t>–</w:t>
            </w:r>
            <w:r w:rsidR="00C26C99" w:rsidRPr="00664AE6">
              <w:rPr>
                <w:rFonts w:cs="Arial"/>
                <w:color w:val="000000" w:themeColor="text1"/>
                <w:szCs w:val="24"/>
              </w:rPr>
              <w:t>8 and high school), for children with IEPs. Account for ALL children with</w:t>
            </w:r>
            <w:r w:rsidR="000022FC" w:rsidRPr="00664AE6">
              <w:rPr>
                <w:rFonts w:cs="Arial"/>
                <w:color w:val="000000" w:themeColor="text1"/>
                <w:szCs w:val="24"/>
              </w:rPr>
              <w:t xml:space="preserve"> </w:t>
            </w:r>
            <w:r w:rsidR="00C26C99" w:rsidRPr="00664AE6">
              <w:rPr>
                <w:rFonts w:cs="Arial"/>
                <w:color w:val="000000" w:themeColor="text1"/>
                <w:szCs w:val="24"/>
              </w:rPr>
              <w:t>IEPs, in all grades assessed, including children not participating in assessments and those not enrolled</w:t>
            </w:r>
            <w:r w:rsidR="000022FC" w:rsidRPr="00664AE6">
              <w:rPr>
                <w:rFonts w:cs="Arial"/>
                <w:color w:val="000000" w:themeColor="text1"/>
                <w:szCs w:val="24"/>
              </w:rPr>
              <w:t xml:space="preserve"> </w:t>
            </w:r>
            <w:r w:rsidR="00C26C99" w:rsidRPr="00664AE6">
              <w:rPr>
                <w:rFonts w:cs="Arial"/>
                <w:color w:val="000000" w:themeColor="text1"/>
                <w:szCs w:val="24"/>
              </w:rPr>
              <w:t>for a full academic year. Only include children with disabilities who had an IEP at the time of testing.</w:t>
            </w:r>
          </w:p>
          <w:p w14:paraId="6268FD05" w14:textId="79C28EA1" w:rsidR="00353D8D" w:rsidRPr="000022FC" w:rsidRDefault="00664AE6" w:rsidP="00664AE6">
            <w:pPr>
              <w:autoSpaceDE w:val="0"/>
              <w:autoSpaceDN w:val="0"/>
              <w:adjustRightInd w:val="0"/>
              <w:spacing w:after="120" w:line="240" w:lineRule="auto"/>
              <w:ind w:left="537" w:hanging="537"/>
              <w:rPr>
                <w:b/>
              </w:rPr>
            </w:pPr>
            <w:r w:rsidRPr="00664AE6">
              <w:rPr>
                <w:rFonts w:cs="Arial"/>
                <w:color w:val="000000" w:themeColor="text1"/>
                <w:szCs w:val="24"/>
              </w:rPr>
              <w:t>3</w:t>
            </w:r>
            <w:r w:rsidR="00C26C99" w:rsidRPr="00664AE6">
              <w:rPr>
                <w:rFonts w:cs="Arial"/>
                <w:color w:val="000000" w:themeColor="text1"/>
                <w:szCs w:val="24"/>
              </w:rPr>
              <w:t>C:</w:t>
            </w:r>
            <w:r>
              <w:rPr>
                <w:rFonts w:cs="Arial"/>
                <w:color w:val="000000" w:themeColor="text1"/>
                <w:szCs w:val="24"/>
              </w:rPr>
              <w:tab/>
            </w:r>
            <w:r w:rsidR="004148C7" w:rsidRPr="00664AE6">
              <w:rPr>
                <w:rFonts w:cs="Arial"/>
                <w:color w:val="000000" w:themeColor="text1"/>
                <w:szCs w:val="24"/>
              </w:rPr>
              <w:t>Proficiency calculations in this SPP/APR must result in proficiency rates for reading/language arts and</w:t>
            </w:r>
            <w:r w:rsidR="004148C7" w:rsidRPr="004148C7">
              <w:t xml:space="preserve"> mathematics assessments (combining regular and alternate) for children with IEPs, in all grades assessed (3</w:t>
            </w:r>
            <w:r>
              <w:t>–</w:t>
            </w:r>
            <w:r w:rsidR="004148C7" w:rsidRPr="004148C7">
              <w:t xml:space="preserve">8 and high school), including both children with IEPs enrolled for a full academic year and those not enrolled for a full academic year. Only include children with disabilities who had an IEP at the time of testing.  </w:t>
            </w:r>
          </w:p>
        </w:tc>
      </w:tr>
      <w:tr w:rsidR="00E2128C" w:rsidRPr="00664AE6" w14:paraId="2B2398CD" w14:textId="77777777" w:rsidTr="00664AE6">
        <w:trPr>
          <w:cantSplit/>
          <w:trHeight w:val="20"/>
        </w:trPr>
        <w:tc>
          <w:tcPr>
            <w:tcW w:w="10070" w:type="dxa"/>
            <w:tcBorders>
              <w:bottom w:val="single" w:sz="4" w:space="0" w:color="auto"/>
            </w:tcBorders>
          </w:tcPr>
          <w:p w14:paraId="0EAA0236" w14:textId="72237A3B" w:rsidR="00B03951" w:rsidRPr="00E63305" w:rsidRDefault="00B03951" w:rsidP="00664AE6">
            <w:pPr>
              <w:autoSpaceDE w:val="0"/>
              <w:autoSpaceDN w:val="0"/>
              <w:adjustRightInd w:val="0"/>
              <w:spacing w:line="240" w:lineRule="auto"/>
              <w:rPr>
                <w:rFonts w:cs="Arial"/>
                <w:color w:val="000000" w:themeColor="text1"/>
                <w:szCs w:val="24"/>
              </w:rPr>
            </w:pPr>
          </w:p>
        </w:tc>
      </w:tr>
      <w:tr w:rsidR="00E2128C" w:rsidRPr="004976EC" w14:paraId="7D398DF5" w14:textId="77777777" w:rsidTr="00664AE6">
        <w:trPr>
          <w:cantSplit/>
          <w:trHeight w:val="20"/>
        </w:trPr>
        <w:tc>
          <w:tcPr>
            <w:tcW w:w="10070" w:type="dxa"/>
            <w:shd w:val="clear" w:color="auto" w:fill="065D8B"/>
          </w:tcPr>
          <w:p w14:paraId="0FA9B962" w14:textId="3A3986FF" w:rsidR="00E2128C" w:rsidRPr="004976EC" w:rsidRDefault="00E2128C" w:rsidP="00E160BE">
            <w:pPr>
              <w:pStyle w:val="SL-FlLftSgl"/>
              <w:rPr>
                <w:rFonts w:asciiTheme="minorHAnsi" w:hAnsiTheme="minorHAnsi"/>
              </w:rPr>
            </w:pPr>
            <w:r w:rsidRPr="004976EC">
              <w:rPr>
                <w:rFonts w:asciiTheme="minorHAnsi" w:hAnsiTheme="minorHAnsi"/>
              </w:rPr>
              <w:t>Data Validation:</w:t>
            </w:r>
            <w:r w:rsidR="008D42EF">
              <w:rPr>
                <w:rFonts w:asciiTheme="minorHAnsi" w:hAnsiTheme="minorHAnsi"/>
                <w:b w:val="0"/>
              </w:rPr>
              <w:t xml:space="preserve"> </w:t>
            </w:r>
            <w:r w:rsidR="00096FA2" w:rsidRPr="00E20A32">
              <w:rPr>
                <w:rFonts w:asciiTheme="minorHAnsi" w:hAnsiTheme="minorHAnsi"/>
                <w:b w:val="0"/>
              </w:rPr>
              <w:t>Describe the data cleaning processes</w:t>
            </w:r>
            <w:r w:rsidR="00E160BE">
              <w:rPr>
                <w:rFonts w:asciiTheme="minorHAnsi" w:hAnsiTheme="minorHAnsi"/>
                <w:b w:val="0"/>
              </w:rPr>
              <w:t xml:space="preserve"> and any other processes </w:t>
            </w:r>
            <w:r w:rsidR="00546552">
              <w:rPr>
                <w:rFonts w:asciiTheme="minorHAnsi" w:hAnsiTheme="minorHAnsi"/>
                <w:b w:val="0"/>
              </w:rPr>
              <w:t>your</w:t>
            </w:r>
            <w:r w:rsidR="007F5F19">
              <w:rPr>
                <w:rFonts w:asciiTheme="minorHAnsi" w:hAnsiTheme="minorHAnsi"/>
                <w:b w:val="0"/>
              </w:rPr>
              <w:t xml:space="preserve"> state </w:t>
            </w:r>
            <w:r w:rsidR="00E160BE">
              <w:rPr>
                <w:rFonts w:asciiTheme="minorHAnsi" w:hAnsiTheme="minorHAnsi"/>
                <w:b w:val="0"/>
              </w:rPr>
              <w:t>use</w:t>
            </w:r>
            <w:r w:rsidR="007F5F19">
              <w:rPr>
                <w:rFonts w:asciiTheme="minorHAnsi" w:hAnsiTheme="minorHAnsi"/>
                <w:b w:val="0"/>
              </w:rPr>
              <w:t>s</w:t>
            </w:r>
            <w:r w:rsidR="00E160BE">
              <w:rPr>
                <w:rFonts w:asciiTheme="minorHAnsi" w:hAnsiTheme="minorHAnsi"/>
                <w:b w:val="0"/>
              </w:rPr>
              <w:t xml:space="preserve"> to ensure high</w:t>
            </w:r>
            <w:r w:rsidR="00EC2AD3">
              <w:rPr>
                <w:rFonts w:asciiTheme="minorHAnsi" w:hAnsiTheme="minorHAnsi"/>
                <w:b w:val="0"/>
              </w:rPr>
              <w:t>-</w:t>
            </w:r>
            <w:r w:rsidR="00E160BE">
              <w:rPr>
                <w:rFonts w:asciiTheme="minorHAnsi" w:hAnsiTheme="minorHAnsi"/>
                <w:b w:val="0"/>
              </w:rPr>
              <w:t>quality data.</w:t>
            </w:r>
            <w:r w:rsidR="00096FA2" w:rsidRPr="00096FA2">
              <w:rPr>
                <w:rFonts w:asciiTheme="minorHAnsi" w:hAnsiTheme="minorHAnsi"/>
                <w:b w:val="0"/>
                <w:sz w:val="22"/>
                <w:szCs w:val="20"/>
              </w:rPr>
              <w:t xml:space="preserve"> </w:t>
            </w:r>
          </w:p>
        </w:tc>
      </w:tr>
      <w:tr w:rsidR="00E2128C" w:rsidRPr="00664AE6" w14:paraId="611DE169" w14:textId="77777777" w:rsidTr="00664AE6">
        <w:trPr>
          <w:cantSplit/>
          <w:trHeight w:val="20"/>
        </w:trPr>
        <w:tc>
          <w:tcPr>
            <w:tcW w:w="10070" w:type="dxa"/>
            <w:tcBorders>
              <w:bottom w:val="single" w:sz="4" w:space="0" w:color="auto"/>
            </w:tcBorders>
          </w:tcPr>
          <w:p w14:paraId="2407FA66" w14:textId="2C6545B8" w:rsidR="00B03951" w:rsidRPr="00E63305" w:rsidRDefault="00B03951" w:rsidP="00664AE6">
            <w:pPr>
              <w:autoSpaceDE w:val="0"/>
              <w:autoSpaceDN w:val="0"/>
              <w:adjustRightInd w:val="0"/>
              <w:spacing w:line="240" w:lineRule="auto"/>
              <w:rPr>
                <w:rFonts w:cs="Arial"/>
                <w:color w:val="000000" w:themeColor="text1"/>
                <w:szCs w:val="24"/>
              </w:rPr>
            </w:pPr>
          </w:p>
        </w:tc>
      </w:tr>
      <w:tr w:rsidR="007611BA" w:rsidRPr="004976EC" w14:paraId="52E695B2" w14:textId="77777777" w:rsidTr="00664AE6">
        <w:trPr>
          <w:cantSplit/>
          <w:trHeight w:val="20"/>
        </w:trPr>
        <w:tc>
          <w:tcPr>
            <w:tcW w:w="10070" w:type="dxa"/>
            <w:shd w:val="clear" w:color="auto" w:fill="105D89"/>
          </w:tcPr>
          <w:p w14:paraId="74C55F51" w14:textId="6D747C79" w:rsidR="007611BA" w:rsidRDefault="007611BA" w:rsidP="006D4AFC">
            <w:pPr>
              <w:pStyle w:val="SL-FlLftSgl"/>
              <w:rPr>
                <w:rFonts w:asciiTheme="minorHAnsi" w:hAnsiTheme="minorHAnsi"/>
              </w:rPr>
            </w:pPr>
            <w:r>
              <w:rPr>
                <w:rFonts w:asciiTheme="minorHAnsi" w:hAnsiTheme="minorHAnsi"/>
              </w:rPr>
              <w:t>Data Analysis:</w:t>
            </w:r>
            <w:r>
              <w:rPr>
                <w:rStyle w:val="FootnoteReference"/>
                <w:rFonts w:asciiTheme="minorHAnsi" w:hAnsiTheme="minorHAnsi"/>
              </w:rPr>
              <w:footnoteReference w:id="4"/>
            </w:r>
            <w:r w:rsidRPr="00146E59">
              <w:rPr>
                <w:rFonts w:asciiTheme="minorHAnsi" w:hAnsiTheme="minorHAnsi"/>
                <w:b w:val="0"/>
              </w:rPr>
              <w:t xml:space="preserve"> </w:t>
            </w:r>
            <w:r>
              <w:rPr>
                <w:rFonts w:asciiTheme="minorHAnsi" w:hAnsiTheme="minorHAnsi"/>
                <w:b w:val="0"/>
              </w:rPr>
              <w:t xml:space="preserve">Describe the process for data analysis.  </w:t>
            </w:r>
          </w:p>
        </w:tc>
      </w:tr>
      <w:tr w:rsidR="007611BA" w:rsidRPr="00664AE6" w14:paraId="19BB03D6" w14:textId="77777777" w:rsidTr="00664AE6">
        <w:trPr>
          <w:cantSplit/>
          <w:trHeight w:val="20"/>
        </w:trPr>
        <w:tc>
          <w:tcPr>
            <w:tcW w:w="10070" w:type="dxa"/>
            <w:tcBorders>
              <w:bottom w:val="single" w:sz="4" w:space="0" w:color="auto"/>
            </w:tcBorders>
          </w:tcPr>
          <w:p w14:paraId="0E24180B" w14:textId="193E3917" w:rsidR="007611BA" w:rsidRPr="00E63305" w:rsidRDefault="007611BA" w:rsidP="00664AE6">
            <w:pPr>
              <w:autoSpaceDE w:val="0"/>
              <w:autoSpaceDN w:val="0"/>
              <w:adjustRightInd w:val="0"/>
              <w:spacing w:line="240" w:lineRule="auto"/>
              <w:rPr>
                <w:rFonts w:cs="Arial"/>
                <w:color w:val="000000" w:themeColor="text1"/>
                <w:szCs w:val="24"/>
              </w:rPr>
            </w:pPr>
          </w:p>
        </w:tc>
      </w:tr>
      <w:tr w:rsidR="00146E59" w:rsidRPr="004976EC" w14:paraId="738C4F2E" w14:textId="77777777" w:rsidTr="00664AE6">
        <w:trPr>
          <w:cantSplit/>
          <w:trHeight w:val="20"/>
        </w:trPr>
        <w:tc>
          <w:tcPr>
            <w:tcW w:w="10070" w:type="dxa"/>
            <w:shd w:val="clear" w:color="auto" w:fill="065D8B"/>
          </w:tcPr>
          <w:p w14:paraId="349FDA73" w14:textId="42FB1B17" w:rsidR="00146E59" w:rsidRPr="004976EC" w:rsidRDefault="00A90D9B" w:rsidP="00546552">
            <w:pPr>
              <w:pStyle w:val="SL-FlLftSgl"/>
              <w:rPr>
                <w:rFonts w:asciiTheme="minorHAnsi" w:hAnsiTheme="minorHAnsi"/>
              </w:rPr>
            </w:pPr>
            <w:r w:rsidRPr="004976EC">
              <w:rPr>
                <w:rFonts w:asciiTheme="minorHAnsi" w:hAnsiTheme="minorHAnsi"/>
              </w:rPr>
              <w:t>Respo</w:t>
            </w:r>
            <w:r>
              <w:rPr>
                <w:rFonts w:asciiTheme="minorHAnsi" w:hAnsiTheme="minorHAnsi"/>
              </w:rPr>
              <w:t>nse to OS</w:t>
            </w:r>
            <w:r w:rsidR="00076F4C">
              <w:rPr>
                <w:rFonts w:asciiTheme="minorHAnsi" w:hAnsiTheme="minorHAnsi"/>
              </w:rPr>
              <w:t>E</w:t>
            </w:r>
            <w:r>
              <w:rPr>
                <w:rFonts w:asciiTheme="minorHAnsi" w:hAnsiTheme="minorHAnsi"/>
              </w:rPr>
              <w:t>P</w:t>
            </w:r>
            <w:r w:rsidR="00EC2AD3">
              <w:rPr>
                <w:rFonts w:asciiTheme="minorHAnsi" w:hAnsiTheme="minorHAnsi"/>
              </w:rPr>
              <w:t>-</w:t>
            </w:r>
            <w:r>
              <w:rPr>
                <w:rFonts w:asciiTheme="minorHAnsi" w:hAnsiTheme="minorHAnsi"/>
              </w:rPr>
              <w:t>Required Actions</w:t>
            </w:r>
            <w:r w:rsidRPr="004976EC">
              <w:rPr>
                <w:rFonts w:asciiTheme="minorHAnsi" w:hAnsiTheme="minorHAnsi"/>
              </w:rPr>
              <w:t>:</w:t>
            </w:r>
            <w:r w:rsidR="00B947CE" w:rsidRPr="004976EC">
              <w:rPr>
                <w:rFonts w:asciiTheme="minorHAnsi" w:hAnsiTheme="minorHAnsi"/>
                <w:b w:val="0"/>
              </w:rPr>
              <w:t xml:space="preserve"> </w:t>
            </w:r>
            <w:r w:rsidRPr="004976EC">
              <w:rPr>
                <w:rFonts w:asciiTheme="minorHAnsi" w:hAnsiTheme="minorHAnsi"/>
                <w:b w:val="0"/>
              </w:rPr>
              <w:t xml:space="preserve">Describe the procedures for reviewing </w:t>
            </w:r>
            <w:r w:rsidR="00EC2AD3">
              <w:rPr>
                <w:rFonts w:asciiTheme="minorHAnsi" w:hAnsiTheme="minorHAnsi"/>
                <w:b w:val="0"/>
              </w:rPr>
              <w:t>Office of Special Education Programs (</w:t>
            </w:r>
            <w:r w:rsidRPr="004976EC">
              <w:rPr>
                <w:rFonts w:asciiTheme="minorHAnsi" w:hAnsiTheme="minorHAnsi"/>
                <w:b w:val="0"/>
              </w:rPr>
              <w:t>OSEP</w:t>
            </w:r>
            <w:r w:rsidR="00EC2AD3">
              <w:rPr>
                <w:rFonts w:asciiTheme="minorHAnsi" w:hAnsiTheme="minorHAnsi"/>
                <w:b w:val="0"/>
              </w:rPr>
              <w:t>)</w:t>
            </w:r>
            <w:r w:rsidR="00B947CE">
              <w:rPr>
                <w:rFonts w:asciiTheme="minorHAnsi" w:hAnsiTheme="minorHAnsi"/>
                <w:b w:val="0"/>
              </w:rPr>
              <w:t xml:space="preserve"> feedback.</w:t>
            </w:r>
            <w:r w:rsidR="00B64250">
              <w:rPr>
                <w:rFonts w:asciiTheme="minorHAnsi" w:hAnsiTheme="minorHAnsi"/>
                <w:b w:val="0"/>
              </w:rPr>
              <w:t xml:space="preserve"> </w:t>
            </w:r>
            <w:r w:rsidR="00B64250" w:rsidRPr="00B64250">
              <w:rPr>
                <w:rFonts w:asciiTheme="minorHAnsi" w:hAnsiTheme="minorHAnsi"/>
                <w:b w:val="0"/>
              </w:rPr>
              <w:t>Following the release of the OSEP determination, indicate who re</w:t>
            </w:r>
            <w:r w:rsidR="00546552">
              <w:rPr>
                <w:rFonts w:asciiTheme="minorHAnsi" w:hAnsiTheme="minorHAnsi"/>
                <w:b w:val="0"/>
              </w:rPr>
              <w:t xml:space="preserve">views OSEP feedback and how assigned staff make the plan </w:t>
            </w:r>
            <w:r w:rsidR="00B64250" w:rsidRPr="00B64250">
              <w:rPr>
                <w:rFonts w:asciiTheme="minorHAnsi" w:hAnsiTheme="minorHAnsi"/>
                <w:b w:val="0"/>
              </w:rPr>
              <w:t>to address concerns and create a response.</w:t>
            </w:r>
          </w:p>
        </w:tc>
      </w:tr>
      <w:tr w:rsidR="00146E59" w:rsidRPr="00664AE6" w14:paraId="268234F6" w14:textId="77777777" w:rsidTr="00664AE6">
        <w:trPr>
          <w:cantSplit/>
          <w:trHeight w:val="20"/>
        </w:trPr>
        <w:tc>
          <w:tcPr>
            <w:tcW w:w="10070" w:type="dxa"/>
            <w:shd w:val="clear" w:color="auto" w:fill="auto"/>
          </w:tcPr>
          <w:p w14:paraId="68C69D02" w14:textId="1CB1D4B8" w:rsidR="00B03951" w:rsidRPr="00E63305" w:rsidRDefault="00B03951" w:rsidP="00664AE6">
            <w:pPr>
              <w:autoSpaceDE w:val="0"/>
              <w:autoSpaceDN w:val="0"/>
              <w:adjustRightInd w:val="0"/>
              <w:spacing w:line="240" w:lineRule="auto"/>
              <w:rPr>
                <w:rFonts w:cs="Arial"/>
                <w:color w:val="000000" w:themeColor="text1"/>
                <w:szCs w:val="24"/>
              </w:rPr>
            </w:pPr>
          </w:p>
        </w:tc>
      </w:tr>
      <w:tr w:rsidR="00E2128C" w:rsidRPr="004976EC" w14:paraId="0526BADA" w14:textId="77777777" w:rsidTr="00664AE6">
        <w:trPr>
          <w:cantSplit/>
          <w:trHeight w:val="20"/>
        </w:trPr>
        <w:tc>
          <w:tcPr>
            <w:tcW w:w="10070" w:type="dxa"/>
            <w:shd w:val="clear" w:color="auto" w:fill="065D8B"/>
          </w:tcPr>
          <w:p w14:paraId="6C369609" w14:textId="79524677" w:rsidR="00E2128C" w:rsidRPr="00E63305" w:rsidRDefault="00E2128C" w:rsidP="00EC2AD3">
            <w:pPr>
              <w:pStyle w:val="SL-FlLftSgl"/>
              <w:rPr>
                <w:rFonts w:asciiTheme="minorHAnsi" w:hAnsiTheme="minorHAnsi"/>
              </w:rPr>
            </w:pPr>
            <w:r w:rsidRPr="00E63305">
              <w:rPr>
                <w:rFonts w:asciiTheme="minorHAnsi" w:hAnsiTheme="minorHAnsi"/>
              </w:rPr>
              <w:lastRenderedPageBreak/>
              <w:t xml:space="preserve">Internal Approval Process: </w:t>
            </w:r>
            <w:r w:rsidRPr="00E63305">
              <w:rPr>
                <w:rFonts w:asciiTheme="minorHAnsi" w:hAnsiTheme="minorHAnsi"/>
                <w:b w:val="0"/>
              </w:rPr>
              <w:t>Describe any internal approval processes (e.g.</w:t>
            </w:r>
            <w:r w:rsidR="00903CF5" w:rsidRPr="00E63305">
              <w:rPr>
                <w:rFonts w:asciiTheme="minorHAnsi" w:hAnsiTheme="minorHAnsi"/>
                <w:b w:val="0"/>
              </w:rPr>
              <w:t>,</w:t>
            </w:r>
            <w:r w:rsidRPr="00E63305">
              <w:rPr>
                <w:rFonts w:asciiTheme="minorHAnsi" w:hAnsiTheme="minorHAnsi"/>
                <w:b w:val="0"/>
              </w:rPr>
              <w:t xml:space="preserve"> who must sign off</w:t>
            </w:r>
            <w:r w:rsidR="00EC2AD3" w:rsidRPr="00E63305">
              <w:rPr>
                <w:rFonts w:asciiTheme="minorHAnsi" w:hAnsiTheme="minorHAnsi"/>
                <w:b w:val="0"/>
              </w:rPr>
              <w:t xml:space="preserve">, </w:t>
            </w:r>
            <w:r w:rsidRPr="00E63305">
              <w:rPr>
                <w:rFonts w:asciiTheme="minorHAnsi" w:hAnsiTheme="minorHAnsi"/>
                <w:b w:val="0"/>
              </w:rPr>
              <w:t>timelines).</w:t>
            </w:r>
            <w:r w:rsidRPr="00E63305">
              <w:rPr>
                <w:rFonts w:asciiTheme="minorHAnsi" w:hAnsiTheme="minorHAnsi"/>
                <w:b w:val="0"/>
                <w:i/>
              </w:rPr>
              <w:t xml:space="preserve"> </w:t>
            </w:r>
          </w:p>
        </w:tc>
      </w:tr>
      <w:tr w:rsidR="00E2128C" w:rsidRPr="00664AE6" w14:paraId="219FED84" w14:textId="77777777" w:rsidTr="00664AE6">
        <w:trPr>
          <w:cantSplit/>
          <w:trHeight w:val="20"/>
        </w:trPr>
        <w:tc>
          <w:tcPr>
            <w:tcW w:w="10070" w:type="dxa"/>
            <w:tcBorders>
              <w:bottom w:val="single" w:sz="4" w:space="0" w:color="auto"/>
            </w:tcBorders>
          </w:tcPr>
          <w:p w14:paraId="39DB001B" w14:textId="58B401F5" w:rsidR="00B03951" w:rsidRPr="00E63305" w:rsidRDefault="00B03951" w:rsidP="00664AE6">
            <w:pPr>
              <w:autoSpaceDE w:val="0"/>
              <w:autoSpaceDN w:val="0"/>
              <w:adjustRightInd w:val="0"/>
              <w:spacing w:line="240" w:lineRule="auto"/>
              <w:rPr>
                <w:rFonts w:cs="Arial"/>
                <w:color w:val="000000" w:themeColor="text1"/>
                <w:szCs w:val="24"/>
              </w:rPr>
            </w:pPr>
          </w:p>
        </w:tc>
      </w:tr>
      <w:tr w:rsidR="00146E59" w:rsidRPr="008005BC" w14:paraId="71C825AC" w14:textId="77777777" w:rsidTr="00664AE6">
        <w:trPr>
          <w:cantSplit/>
          <w:trHeight w:val="20"/>
        </w:trPr>
        <w:tc>
          <w:tcPr>
            <w:tcW w:w="10070" w:type="dxa"/>
            <w:shd w:val="clear" w:color="auto" w:fill="065D8B"/>
          </w:tcPr>
          <w:p w14:paraId="59CEE8DC" w14:textId="4DFB5592" w:rsidR="00146E59" w:rsidRPr="00E63305" w:rsidRDefault="00D13676" w:rsidP="00505C83">
            <w:pPr>
              <w:pStyle w:val="SL-FlLftSgl"/>
              <w:rPr>
                <w:rFonts w:asciiTheme="minorHAnsi" w:hAnsiTheme="minorHAnsi"/>
                <w:color w:val="FF0000"/>
              </w:rPr>
            </w:pPr>
            <w:r w:rsidRPr="00E63305">
              <w:rPr>
                <w:rFonts w:asciiTheme="minorHAnsi" w:hAnsiTheme="minorHAnsi"/>
              </w:rPr>
              <w:t>Submission:</w:t>
            </w:r>
            <w:r w:rsidR="00CB081A" w:rsidRPr="00E63305">
              <w:rPr>
                <w:rFonts w:asciiTheme="minorHAnsi" w:hAnsiTheme="minorHAnsi"/>
                <w:b w:val="0"/>
              </w:rPr>
              <w:t xml:space="preserve"> </w:t>
            </w:r>
            <w:r w:rsidR="00B947CE" w:rsidRPr="00E63305">
              <w:rPr>
                <w:rFonts w:asciiTheme="minorHAnsi" w:hAnsiTheme="minorHAnsi"/>
                <w:b w:val="0"/>
              </w:rPr>
              <w:t xml:space="preserve">Describe process for </w:t>
            </w:r>
            <w:r w:rsidR="0025064E" w:rsidRPr="00E63305">
              <w:rPr>
                <w:rFonts w:asciiTheme="minorHAnsi" w:hAnsiTheme="minorHAnsi"/>
                <w:b w:val="0"/>
              </w:rPr>
              <w:t>entering</w:t>
            </w:r>
            <w:r w:rsidR="00B947CE" w:rsidRPr="00E63305">
              <w:rPr>
                <w:rFonts w:asciiTheme="minorHAnsi" w:hAnsiTheme="minorHAnsi"/>
                <w:b w:val="0"/>
              </w:rPr>
              <w:t xml:space="preserve"> the </w:t>
            </w:r>
            <w:r w:rsidR="0025064E" w:rsidRPr="00E63305">
              <w:rPr>
                <w:rFonts w:asciiTheme="minorHAnsi" w:hAnsiTheme="minorHAnsi"/>
                <w:b w:val="0"/>
              </w:rPr>
              <w:t>data and analyses</w:t>
            </w:r>
            <w:r w:rsidR="00B947CE" w:rsidRPr="00E63305">
              <w:rPr>
                <w:rFonts w:asciiTheme="minorHAnsi" w:hAnsiTheme="minorHAnsi"/>
                <w:b w:val="0"/>
              </w:rPr>
              <w:t xml:space="preserve"> into </w:t>
            </w:r>
            <w:hyperlink r:id="rId10" w:anchor="program" w:history="1">
              <w:r w:rsidR="00B947CE" w:rsidRPr="00E63305">
                <w:rPr>
                  <w:rStyle w:val="Hyperlink"/>
                  <w:rFonts w:asciiTheme="minorHAnsi" w:hAnsiTheme="minorHAnsi"/>
                  <w:b w:val="0"/>
                  <w:color w:val="FBD4B4" w:themeColor="accent6" w:themeTint="66"/>
                </w:rPr>
                <w:t>G</w:t>
              </w:r>
              <w:r w:rsidR="00B03951" w:rsidRPr="00E63305">
                <w:rPr>
                  <w:rStyle w:val="Hyperlink"/>
                  <w:rFonts w:asciiTheme="minorHAnsi" w:hAnsiTheme="minorHAnsi"/>
                  <w:b w:val="0"/>
                  <w:color w:val="FBD4B4" w:themeColor="accent6" w:themeTint="66"/>
                </w:rPr>
                <w:t>RADS</w:t>
              </w:r>
              <w:r w:rsidR="00B947CE" w:rsidRPr="00E63305">
                <w:rPr>
                  <w:rStyle w:val="Hyperlink"/>
                  <w:rFonts w:asciiTheme="minorHAnsi" w:hAnsiTheme="minorHAnsi"/>
                  <w:b w:val="0"/>
                  <w:color w:val="FBD4B4" w:themeColor="accent6" w:themeTint="66"/>
                </w:rPr>
                <w:t>360</w:t>
              </w:r>
            </w:hyperlink>
            <w:r w:rsidR="00664AE6" w:rsidRPr="00E63305">
              <w:rPr>
                <w:rStyle w:val="Hyperlink"/>
                <w:rFonts w:asciiTheme="minorHAnsi" w:hAnsiTheme="minorHAnsi"/>
                <w:b w:val="0"/>
                <w:color w:val="FBD4B4" w:themeColor="accent6" w:themeTint="66"/>
                <w:vertAlign w:val="superscript"/>
              </w:rPr>
              <w:t>o</w:t>
            </w:r>
            <w:r w:rsidR="00B947CE" w:rsidRPr="00E63305">
              <w:rPr>
                <w:rFonts w:asciiTheme="minorHAnsi" w:hAnsiTheme="minorHAnsi"/>
                <w:b w:val="0"/>
              </w:rPr>
              <w:t>.</w:t>
            </w:r>
            <w:r w:rsidR="008F542C" w:rsidRPr="00E63305">
              <w:rPr>
                <w:rFonts w:asciiTheme="minorHAnsi" w:hAnsiTheme="minorHAnsi"/>
                <w:b w:val="0"/>
              </w:rPr>
              <w:t xml:space="preserve"> Include information about the person authorized to certify the final report.</w:t>
            </w:r>
          </w:p>
        </w:tc>
      </w:tr>
      <w:tr w:rsidR="00ED63AC" w:rsidRPr="00664AE6" w14:paraId="6C2E82AB" w14:textId="77777777" w:rsidTr="00664AE6">
        <w:trPr>
          <w:cantSplit/>
          <w:trHeight w:val="20"/>
        </w:trPr>
        <w:tc>
          <w:tcPr>
            <w:tcW w:w="10070" w:type="dxa"/>
            <w:shd w:val="clear" w:color="auto" w:fill="auto"/>
          </w:tcPr>
          <w:p w14:paraId="265A2AF3" w14:textId="133FC1AB" w:rsidR="00B03951" w:rsidRPr="00E63305" w:rsidRDefault="00ED63AC" w:rsidP="00505C83">
            <w:pPr>
              <w:autoSpaceDE w:val="0"/>
              <w:autoSpaceDN w:val="0"/>
              <w:adjustRightInd w:val="0"/>
              <w:spacing w:line="240" w:lineRule="auto"/>
              <w:rPr>
                <w:rFonts w:cs="Arial"/>
                <w:color w:val="000000" w:themeColor="text1"/>
                <w:szCs w:val="24"/>
              </w:rPr>
            </w:pPr>
            <w:r w:rsidRPr="00E63305">
              <w:rPr>
                <w:rFonts w:cs="Arial"/>
                <w:color w:val="000000" w:themeColor="text1"/>
                <w:szCs w:val="24"/>
              </w:rPr>
              <w:t>Prefilled with 618 data by GRADS360</w:t>
            </w:r>
            <w:r w:rsidR="00664AE6" w:rsidRPr="00E63305">
              <w:rPr>
                <w:rFonts w:cs="Arial"/>
                <w:color w:val="000000" w:themeColor="text1"/>
                <w:szCs w:val="24"/>
              </w:rPr>
              <w:t>°</w:t>
            </w:r>
            <w:r w:rsidRPr="00E63305">
              <w:rPr>
                <w:rFonts w:cs="Arial"/>
                <w:color w:val="000000" w:themeColor="text1"/>
                <w:szCs w:val="24"/>
              </w:rPr>
              <w:t>.</w:t>
            </w:r>
          </w:p>
        </w:tc>
      </w:tr>
      <w:tr w:rsidR="00ED63AC" w:rsidRPr="004976EC" w14:paraId="751AF975" w14:textId="77777777" w:rsidTr="00664AE6">
        <w:trPr>
          <w:cantSplit/>
          <w:trHeight w:val="20"/>
        </w:trPr>
        <w:tc>
          <w:tcPr>
            <w:tcW w:w="10070" w:type="dxa"/>
            <w:shd w:val="clear" w:color="auto" w:fill="065D8B"/>
          </w:tcPr>
          <w:p w14:paraId="4F57C485" w14:textId="5DCB2C51" w:rsidR="00ED63AC" w:rsidRPr="00E63305" w:rsidRDefault="00ED63AC" w:rsidP="006235D9">
            <w:pPr>
              <w:pStyle w:val="SL-FlLftSgl"/>
              <w:rPr>
                <w:rFonts w:asciiTheme="minorHAnsi" w:hAnsiTheme="minorHAnsi"/>
              </w:rPr>
            </w:pPr>
            <w:r w:rsidRPr="00E63305">
              <w:rPr>
                <w:rFonts w:asciiTheme="minorHAnsi" w:hAnsiTheme="minorHAnsi"/>
              </w:rPr>
              <w:t>Clarification</w:t>
            </w:r>
            <w:r w:rsidR="00B03951" w:rsidRPr="00E63305">
              <w:rPr>
                <w:rFonts w:asciiTheme="minorHAnsi" w:hAnsiTheme="minorHAnsi"/>
              </w:rPr>
              <w:t>:</w:t>
            </w:r>
            <w:r w:rsidRPr="00E63305">
              <w:rPr>
                <w:rStyle w:val="FootnoteReference"/>
                <w:rFonts w:asciiTheme="minorHAnsi" w:hAnsiTheme="minorHAnsi"/>
              </w:rPr>
              <w:footnoteReference w:id="5"/>
            </w:r>
            <w:r w:rsidRPr="00E63305">
              <w:rPr>
                <w:rFonts w:asciiTheme="minorHAnsi" w:hAnsiTheme="minorHAnsi"/>
              </w:rPr>
              <w:t xml:space="preserve"> </w:t>
            </w:r>
            <w:r w:rsidR="00546552" w:rsidRPr="00E63305">
              <w:rPr>
                <w:rFonts w:asciiTheme="minorHAnsi" w:hAnsiTheme="minorHAnsi"/>
                <w:b w:val="0"/>
              </w:rPr>
              <w:t>Describe the process your state uses to prepare a response to OSEP’s request for clarification.</w:t>
            </w:r>
          </w:p>
        </w:tc>
      </w:tr>
      <w:tr w:rsidR="00ED63AC" w:rsidRPr="00664AE6" w14:paraId="72F5E0D2" w14:textId="77777777" w:rsidTr="00664AE6">
        <w:trPr>
          <w:cantSplit/>
          <w:trHeight w:val="20"/>
        </w:trPr>
        <w:tc>
          <w:tcPr>
            <w:tcW w:w="10070" w:type="dxa"/>
            <w:shd w:val="clear" w:color="auto" w:fill="auto"/>
          </w:tcPr>
          <w:p w14:paraId="1C1F2C5E" w14:textId="672D5687" w:rsidR="00ED63AC" w:rsidRPr="00E63305" w:rsidRDefault="00ED63AC" w:rsidP="00664AE6">
            <w:pPr>
              <w:autoSpaceDE w:val="0"/>
              <w:autoSpaceDN w:val="0"/>
              <w:adjustRightInd w:val="0"/>
              <w:spacing w:line="240" w:lineRule="auto"/>
              <w:rPr>
                <w:rFonts w:cs="Arial"/>
                <w:color w:val="000000" w:themeColor="text1"/>
                <w:szCs w:val="24"/>
              </w:rPr>
            </w:pPr>
          </w:p>
        </w:tc>
      </w:tr>
      <w:tr w:rsidR="00ED63AC" w:rsidRPr="004976EC" w14:paraId="7BEBFDE2" w14:textId="77777777" w:rsidTr="00664AE6">
        <w:trPr>
          <w:cantSplit/>
          <w:trHeight w:val="20"/>
        </w:trPr>
        <w:tc>
          <w:tcPr>
            <w:tcW w:w="10070" w:type="dxa"/>
            <w:shd w:val="clear" w:color="auto" w:fill="065D8B"/>
          </w:tcPr>
          <w:p w14:paraId="5DBECDDA" w14:textId="76DF4A1A" w:rsidR="00ED63AC" w:rsidRPr="00E63305" w:rsidRDefault="00ED63AC" w:rsidP="00ED63AC">
            <w:pPr>
              <w:pStyle w:val="SL-FlLftSgl"/>
              <w:rPr>
                <w:rFonts w:asciiTheme="minorHAnsi" w:hAnsiTheme="minorHAnsi"/>
              </w:rPr>
            </w:pPr>
            <w:r w:rsidRPr="00E63305">
              <w:rPr>
                <w:rFonts w:asciiTheme="minorHAnsi" w:hAnsiTheme="minorHAnsi"/>
              </w:rPr>
              <w:t xml:space="preserve">Data Governance: </w:t>
            </w:r>
            <w:r w:rsidRPr="00E63305">
              <w:rPr>
                <w:rFonts w:asciiTheme="minorHAnsi" w:hAnsiTheme="minorHAnsi"/>
                <w:b w:val="0"/>
              </w:rPr>
              <w:t xml:space="preserve">Describe the process for reviewing potential or actual changes to the data collection and associated requirements.  </w:t>
            </w:r>
          </w:p>
        </w:tc>
      </w:tr>
      <w:tr w:rsidR="00ED63AC" w:rsidRPr="00664AE6" w14:paraId="35D5D329" w14:textId="77777777" w:rsidTr="00664AE6">
        <w:trPr>
          <w:cantSplit/>
          <w:trHeight w:val="20"/>
        </w:trPr>
        <w:tc>
          <w:tcPr>
            <w:tcW w:w="10070" w:type="dxa"/>
            <w:shd w:val="clear" w:color="auto" w:fill="auto"/>
          </w:tcPr>
          <w:p w14:paraId="2777B134" w14:textId="302AF329" w:rsidR="00B03951" w:rsidRPr="00E63305" w:rsidRDefault="00B03951" w:rsidP="00664AE6">
            <w:pPr>
              <w:autoSpaceDE w:val="0"/>
              <w:autoSpaceDN w:val="0"/>
              <w:adjustRightInd w:val="0"/>
              <w:spacing w:line="240" w:lineRule="auto"/>
              <w:rPr>
                <w:rFonts w:cs="Arial"/>
                <w:color w:val="000000" w:themeColor="text1"/>
                <w:szCs w:val="24"/>
              </w:rPr>
            </w:pPr>
          </w:p>
        </w:tc>
      </w:tr>
      <w:tr w:rsidR="00ED63AC" w:rsidRPr="004976EC" w14:paraId="4F92A44F" w14:textId="77777777" w:rsidTr="00664AE6">
        <w:trPr>
          <w:cantSplit/>
          <w:trHeight w:val="20"/>
        </w:trPr>
        <w:tc>
          <w:tcPr>
            <w:tcW w:w="10070" w:type="dxa"/>
            <w:shd w:val="clear" w:color="auto" w:fill="065D8B"/>
          </w:tcPr>
          <w:p w14:paraId="6712995E" w14:textId="56B67A20" w:rsidR="00ED63AC" w:rsidRPr="00E63305" w:rsidRDefault="00ED63AC" w:rsidP="00505C83">
            <w:pPr>
              <w:pStyle w:val="SL-FlLftSgl"/>
              <w:rPr>
                <w:rFonts w:asciiTheme="minorHAnsi" w:hAnsiTheme="minorHAnsi"/>
              </w:rPr>
            </w:pPr>
            <w:r w:rsidRPr="00E63305">
              <w:rPr>
                <w:rFonts w:asciiTheme="minorHAnsi" w:hAnsiTheme="minorHAnsi"/>
              </w:rPr>
              <w:t xml:space="preserve">Public Reporting: </w:t>
            </w:r>
            <w:r w:rsidRPr="00E63305">
              <w:rPr>
                <w:rFonts w:asciiTheme="minorHAnsi" w:hAnsiTheme="minorHAnsi"/>
                <w:b w:val="0"/>
              </w:rPr>
              <w:t>Describe the process and format for publicly reporting the performance of each LEA against the target of the state</w:t>
            </w:r>
            <w:r w:rsidR="00B03951" w:rsidRPr="00E63305">
              <w:rPr>
                <w:rFonts w:asciiTheme="minorHAnsi" w:hAnsiTheme="minorHAnsi"/>
                <w:b w:val="0"/>
              </w:rPr>
              <w:t>’</w:t>
            </w:r>
            <w:r w:rsidRPr="00E63305">
              <w:rPr>
                <w:rFonts w:asciiTheme="minorHAnsi" w:hAnsiTheme="minorHAnsi"/>
                <w:b w:val="0"/>
              </w:rPr>
              <w:t>s SPP/APR data.</w:t>
            </w:r>
            <w:r w:rsidRPr="00E63305">
              <w:rPr>
                <w:rFonts w:asciiTheme="minorHAnsi" w:hAnsiTheme="minorHAnsi"/>
              </w:rPr>
              <w:t xml:space="preserve"> </w:t>
            </w:r>
            <w:r w:rsidRPr="00E63305">
              <w:rPr>
                <w:rFonts w:asciiTheme="minorHAnsi" w:hAnsiTheme="minorHAnsi"/>
                <w:b w:val="0"/>
              </w:rPr>
              <w:t>Note</w:t>
            </w:r>
            <w:r w:rsidR="00546552" w:rsidRPr="00E63305">
              <w:rPr>
                <w:rFonts w:asciiTheme="minorHAnsi" w:hAnsiTheme="minorHAnsi"/>
                <w:b w:val="0"/>
              </w:rPr>
              <w:t xml:space="preserve"> where your</w:t>
            </w:r>
            <w:r w:rsidR="00E63305">
              <w:rPr>
                <w:rFonts w:asciiTheme="minorHAnsi" w:hAnsiTheme="minorHAnsi"/>
                <w:b w:val="0"/>
              </w:rPr>
              <w:t xml:space="preserve"> </w:t>
            </w:r>
            <w:r w:rsidR="00505C83" w:rsidRPr="00E63305">
              <w:rPr>
                <w:rFonts w:asciiTheme="minorHAnsi" w:hAnsiTheme="minorHAnsi"/>
                <w:b w:val="0"/>
              </w:rPr>
              <w:t xml:space="preserve">state posts the </w:t>
            </w:r>
            <w:r w:rsidR="008603D1" w:rsidRPr="00E63305">
              <w:rPr>
                <w:rFonts w:asciiTheme="minorHAnsi" w:hAnsiTheme="minorHAnsi"/>
                <w:b w:val="0"/>
              </w:rPr>
              <w:t>state education agency (</w:t>
            </w:r>
            <w:r w:rsidRPr="00E63305">
              <w:rPr>
                <w:rFonts w:asciiTheme="minorHAnsi" w:hAnsiTheme="minorHAnsi"/>
                <w:b w:val="0"/>
              </w:rPr>
              <w:t>SEA</w:t>
            </w:r>
            <w:r w:rsidR="008603D1" w:rsidRPr="00E63305">
              <w:rPr>
                <w:rFonts w:asciiTheme="minorHAnsi" w:hAnsiTheme="minorHAnsi"/>
                <w:b w:val="0"/>
              </w:rPr>
              <w:t>)</w:t>
            </w:r>
            <w:r w:rsidRPr="00E63305">
              <w:rPr>
                <w:rFonts w:asciiTheme="minorHAnsi" w:hAnsiTheme="minorHAnsi"/>
                <w:b w:val="0"/>
              </w:rPr>
              <w:t xml:space="preserve"> and LEA SPP/APR data.</w:t>
            </w:r>
          </w:p>
        </w:tc>
      </w:tr>
      <w:tr w:rsidR="00ED63AC" w:rsidRPr="00664AE6" w14:paraId="34C9A6D1" w14:textId="77777777" w:rsidTr="00664AE6">
        <w:trPr>
          <w:cantSplit/>
          <w:trHeight w:val="20"/>
        </w:trPr>
        <w:tc>
          <w:tcPr>
            <w:tcW w:w="10070" w:type="dxa"/>
          </w:tcPr>
          <w:p w14:paraId="47B63986" w14:textId="08A11699" w:rsidR="00B03951" w:rsidRPr="00664AE6" w:rsidRDefault="00B03951" w:rsidP="00664AE6">
            <w:pPr>
              <w:autoSpaceDE w:val="0"/>
              <w:autoSpaceDN w:val="0"/>
              <w:adjustRightInd w:val="0"/>
              <w:spacing w:line="240" w:lineRule="auto"/>
              <w:rPr>
                <w:rFonts w:cs="Arial"/>
                <w:color w:val="000000" w:themeColor="text1"/>
                <w:sz w:val="21"/>
                <w:szCs w:val="21"/>
              </w:rPr>
            </w:pPr>
          </w:p>
        </w:tc>
      </w:tr>
    </w:tbl>
    <w:p w14:paraId="400CF6E7" w14:textId="39BBA238" w:rsidR="00F30485" w:rsidRPr="004976EC" w:rsidRDefault="00F30485" w:rsidP="00E20A32">
      <w:pPr>
        <w:pStyle w:val="N1-1stBullet"/>
        <w:numPr>
          <w:ilvl w:val="0"/>
          <w:numId w:val="0"/>
        </w:numPr>
        <w:rPr>
          <w:rFonts w:asciiTheme="minorHAnsi" w:hAnsiTheme="minorHAnsi"/>
        </w:rPr>
      </w:pPr>
    </w:p>
    <w:sectPr w:rsidR="00F30485" w:rsidRPr="004976EC" w:rsidSect="00664AE6">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40753D" w16cid:durableId="1D258307"/>
  <w16cid:commentId w16cid:paraId="404EBEA6" w16cid:durableId="1D25847A"/>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18E9F" w14:textId="77777777" w:rsidR="006E728A" w:rsidRDefault="006E728A">
      <w:pPr>
        <w:spacing w:line="240" w:lineRule="auto"/>
      </w:pPr>
      <w:r>
        <w:separator/>
      </w:r>
    </w:p>
  </w:endnote>
  <w:endnote w:type="continuationSeparator" w:id="0">
    <w:p w14:paraId="00F03764" w14:textId="77777777" w:rsidR="006E728A" w:rsidRDefault="006E7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3DBA" w14:textId="77777777" w:rsidR="00E83BEC" w:rsidRDefault="00E83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883B" w14:textId="43E280A7" w:rsidR="00664AE6" w:rsidRPr="008D1A63" w:rsidRDefault="006E728A" w:rsidP="00664AE6">
    <w:pPr>
      <w:pStyle w:val="Footer"/>
      <w:tabs>
        <w:tab w:val="right" w:pos="10350"/>
      </w:tabs>
      <w:ind w:right="360"/>
      <w:rPr>
        <w:color w:val="4D4D4F"/>
      </w:rPr>
    </w:pPr>
    <w:hyperlink r:id="rId1" w:tooltip="IDEA Data Center website" w:history="1">
      <w:r w:rsidR="00664AE6" w:rsidRPr="008D1A63">
        <w:rPr>
          <w:color w:val="4D4D4F"/>
        </w:rPr>
        <w:t>www.ideadata.org</w:t>
      </w:r>
    </w:hyperlink>
    <w:r w:rsidR="00664AE6" w:rsidRPr="008D1A63">
      <w:rPr>
        <w:color w:val="4D4D4F"/>
      </w:rPr>
      <w:tab/>
    </w:r>
    <w:r w:rsidR="00664AE6" w:rsidRPr="008D1A63">
      <w:rPr>
        <w:color w:val="4D4D4F"/>
      </w:rPr>
      <w:fldChar w:fldCharType="begin"/>
    </w:r>
    <w:r w:rsidR="00664AE6" w:rsidRPr="008D1A63">
      <w:rPr>
        <w:color w:val="4D4D4F"/>
      </w:rPr>
      <w:instrText xml:space="preserve"> PAGE   \* MERGEFORMAT </w:instrText>
    </w:r>
    <w:r w:rsidR="00664AE6" w:rsidRPr="008D1A63">
      <w:rPr>
        <w:color w:val="4D4D4F"/>
      </w:rPr>
      <w:fldChar w:fldCharType="separate"/>
    </w:r>
    <w:r w:rsidR="00E83BEC">
      <w:rPr>
        <w:noProof/>
        <w:color w:val="4D4D4F"/>
      </w:rPr>
      <w:t>4</w:t>
    </w:r>
    <w:r w:rsidR="00664AE6" w:rsidRPr="008D1A63">
      <w:rPr>
        <w:noProof/>
        <w:color w:val="4D4D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5E88" w14:textId="27829A56" w:rsidR="00664AE6" w:rsidRPr="008D1A63" w:rsidRDefault="006E728A" w:rsidP="00664AE6">
    <w:pPr>
      <w:pStyle w:val="Footer"/>
      <w:tabs>
        <w:tab w:val="right" w:pos="10350"/>
      </w:tabs>
      <w:ind w:right="360"/>
      <w:rPr>
        <w:color w:val="4D4D4F"/>
      </w:rPr>
    </w:pPr>
    <w:hyperlink r:id="rId1" w:tooltip="IDEA Data Center website" w:history="1">
      <w:r w:rsidR="00664AE6" w:rsidRPr="008D1A63">
        <w:rPr>
          <w:color w:val="4D4D4F"/>
        </w:rPr>
        <w:t>www.ideadata.org</w:t>
      </w:r>
    </w:hyperlink>
    <w:r w:rsidR="00664AE6" w:rsidRPr="008D1A63">
      <w:rPr>
        <w:color w:val="4D4D4F"/>
      </w:rPr>
      <w:tab/>
    </w:r>
    <w:r w:rsidR="00664AE6" w:rsidRPr="008D1A63">
      <w:rPr>
        <w:color w:val="4D4D4F"/>
      </w:rPr>
      <w:fldChar w:fldCharType="begin"/>
    </w:r>
    <w:r w:rsidR="00664AE6" w:rsidRPr="008D1A63">
      <w:rPr>
        <w:color w:val="4D4D4F"/>
      </w:rPr>
      <w:instrText xml:space="preserve"> PAGE   \* MERGEFORMAT </w:instrText>
    </w:r>
    <w:r w:rsidR="00664AE6" w:rsidRPr="008D1A63">
      <w:rPr>
        <w:color w:val="4D4D4F"/>
      </w:rPr>
      <w:fldChar w:fldCharType="separate"/>
    </w:r>
    <w:r w:rsidR="00E83BEC">
      <w:rPr>
        <w:noProof/>
        <w:color w:val="4D4D4F"/>
      </w:rPr>
      <w:t>1</w:t>
    </w:r>
    <w:r w:rsidR="00664AE6" w:rsidRPr="008D1A63">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F5F35" w14:textId="77777777" w:rsidR="006E728A" w:rsidRPr="001F1397" w:rsidRDefault="006E728A" w:rsidP="00664AE6">
      <w:pPr>
        <w:pStyle w:val="Footer"/>
        <w:pBdr>
          <w:bottom w:val="single" w:sz="4" w:space="1" w:color="auto"/>
        </w:pBdr>
      </w:pPr>
    </w:p>
  </w:footnote>
  <w:footnote w:type="continuationSeparator" w:id="0">
    <w:p w14:paraId="65ABC3AE" w14:textId="77777777" w:rsidR="006E728A" w:rsidRPr="006328B1" w:rsidRDefault="006E728A" w:rsidP="008E637E">
      <w:pPr>
        <w:pStyle w:val="Footer"/>
      </w:pPr>
    </w:p>
  </w:footnote>
  <w:footnote w:type="continuationNotice" w:id="1">
    <w:p w14:paraId="631F2B42" w14:textId="77777777" w:rsidR="006E728A" w:rsidRPr="006328B1" w:rsidRDefault="006E728A" w:rsidP="008E637E">
      <w:pPr>
        <w:pStyle w:val="Footer"/>
      </w:pPr>
    </w:p>
  </w:footnote>
  <w:footnote w:id="2">
    <w:p w14:paraId="2A58B39D" w14:textId="3E0EA7CB" w:rsidR="008E6132" w:rsidRDefault="008E6132">
      <w:pPr>
        <w:pStyle w:val="FootnoteText"/>
      </w:pPr>
      <w:r>
        <w:rPr>
          <w:rStyle w:val="FootnoteReference"/>
        </w:rPr>
        <w:footnoteRef/>
      </w:r>
      <w:r>
        <w:t xml:space="preserve"> </w:t>
      </w:r>
      <w:r w:rsidRPr="004148C7">
        <w:rPr>
          <w:b/>
        </w:rPr>
        <w:t>Indicator Description:</w:t>
      </w:r>
      <w:r>
        <w:t xml:space="preserve"> Indicator 3, Part A was discontinued for the FFY 2014 SPP/APR.</w:t>
      </w:r>
    </w:p>
  </w:footnote>
  <w:footnote w:id="3">
    <w:p w14:paraId="66834B73" w14:textId="442B13D2" w:rsidR="00224864" w:rsidRDefault="00224864" w:rsidP="00664AE6">
      <w:pPr>
        <w:pStyle w:val="FootnoteText"/>
        <w:spacing w:after="240"/>
      </w:pPr>
      <w:r>
        <w:rPr>
          <w:rStyle w:val="FootnoteReference"/>
        </w:rPr>
        <w:footnoteRef/>
      </w:r>
      <w:r>
        <w:t xml:space="preserve"> </w:t>
      </w:r>
      <w:r w:rsidR="00870647" w:rsidRPr="000022FC">
        <w:rPr>
          <w:b/>
        </w:rPr>
        <w:t>Measurement:</w:t>
      </w:r>
      <w:r w:rsidR="00870647">
        <w:t xml:space="preserve"> </w:t>
      </w:r>
      <w:r>
        <w:t>Part B</w:t>
      </w:r>
      <w:r w:rsidR="00FF1D55">
        <w:t xml:space="preserve"> </w:t>
      </w:r>
      <w:r w:rsidR="00B8213A">
        <w:t xml:space="preserve">Indicator </w:t>
      </w:r>
      <w:r w:rsidR="00FF1D55">
        <w:t>Measurement Table 2018, for FFY 2016</w:t>
      </w:r>
      <w:r w:rsidRPr="00900525">
        <w:t xml:space="preserve"> submission</w:t>
      </w:r>
      <w:r w:rsidR="0027317C">
        <w:t>.</w:t>
      </w:r>
    </w:p>
  </w:footnote>
  <w:footnote w:id="4">
    <w:p w14:paraId="3E0A3A92" w14:textId="65043D4F" w:rsidR="007611BA" w:rsidRPr="00664AE6" w:rsidRDefault="007611BA" w:rsidP="00664AE6">
      <w:pPr>
        <w:pStyle w:val="SL-FlLftSgl"/>
        <w:spacing w:after="240"/>
        <w:rPr>
          <w:b w:val="0"/>
          <w:color w:val="000000" w:themeColor="text1"/>
          <w:sz w:val="18"/>
          <w:szCs w:val="18"/>
        </w:rPr>
      </w:pPr>
      <w:r w:rsidRPr="00664AE6">
        <w:rPr>
          <w:rStyle w:val="FootnoteReference"/>
          <w:rFonts w:asciiTheme="minorHAnsi" w:hAnsiTheme="minorHAnsi"/>
          <w:b w:val="0"/>
          <w:color w:val="000000" w:themeColor="text1"/>
          <w:sz w:val="18"/>
          <w:szCs w:val="18"/>
        </w:rPr>
        <w:footnoteRef/>
      </w:r>
      <w:r w:rsidRPr="00664AE6">
        <w:rPr>
          <w:rFonts w:asciiTheme="minorHAnsi" w:hAnsiTheme="minorHAnsi"/>
          <w:b w:val="0"/>
          <w:color w:val="000000" w:themeColor="text1"/>
          <w:sz w:val="18"/>
          <w:szCs w:val="18"/>
        </w:rPr>
        <w:t xml:space="preserve"> </w:t>
      </w:r>
      <w:r w:rsidRPr="00664AE6">
        <w:rPr>
          <w:rFonts w:asciiTheme="minorHAnsi" w:hAnsiTheme="minorHAnsi"/>
          <w:color w:val="000000" w:themeColor="text1"/>
          <w:sz w:val="18"/>
          <w:szCs w:val="18"/>
        </w:rPr>
        <w:t>Data Analysis:</w:t>
      </w:r>
      <w:r w:rsidRPr="00664AE6">
        <w:rPr>
          <w:rFonts w:asciiTheme="minorHAnsi" w:hAnsiTheme="minorHAnsi"/>
          <w:b w:val="0"/>
          <w:color w:val="000000" w:themeColor="text1"/>
          <w:sz w:val="18"/>
          <w:szCs w:val="18"/>
        </w:rPr>
        <w:t xml:space="preserve"> Review data year to year, looking for patterns statewide and within LEAs, outliers, </w:t>
      </w:r>
      <w:r w:rsidR="00546552">
        <w:rPr>
          <w:rFonts w:asciiTheme="minorHAnsi" w:hAnsiTheme="minorHAnsi"/>
          <w:b w:val="0"/>
          <w:color w:val="000000" w:themeColor="text1"/>
          <w:sz w:val="18"/>
          <w:szCs w:val="18"/>
        </w:rPr>
        <w:t xml:space="preserve">whether targets are met or </w:t>
      </w:r>
      <w:r w:rsidR="00664AE6" w:rsidRPr="00664AE6">
        <w:rPr>
          <w:rFonts w:asciiTheme="minorHAnsi" w:hAnsiTheme="minorHAnsi"/>
          <w:b w:val="0"/>
          <w:color w:val="000000" w:themeColor="text1"/>
          <w:sz w:val="18"/>
          <w:szCs w:val="18"/>
        </w:rPr>
        <w:t>not met, and slippage.</w:t>
      </w:r>
    </w:p>
  </w:footnote>
  <w:footnote w:id="5">
    <w:p w14:paraId="72E544F3" w14:textId="07FCD227" w:rsidR="00ED63AC" w:rsidRDefault="00ED63AC">
      <w:pPr>
        <w:pStyle w:val="FootnoteText"/>
      </w:pPr>
      <w:r>
        <w:rPr>
          <w:rStyle w:val="FootnoteReference"/>
        </w:rPr>
        <w:footnoteRef/>
      </w:r>
      <w:r>
        <w:t xml:space="preserve"> </w:t>
      </w:r>
      <w:r>
        <w:rPr>
          <w:b/>
        </w:rPr>
        <w:t>Clarification:</w:t>
      </w:r>
      <w:r>
        <w:t xml:space="preserve"> </w:t>
      </w:r>
      <w:r w:rsidR="00505C83">
        <w:t>OSEP generally sends c</w:t>
      </w:r>
      <w:r>
        <w:t xml:space="preserve">larification requests to states about 60 days </w:t>
      </w:r>
      <w:proofErr w:type="spellStart"/>
      <w:r>
        <w:t>postsubmission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BAD3" w14:textId="77777777" w:rsidR="00E83BEC" w:rsidRDefault="00E83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BB07F" w14:textId="734868AE" w:rsidR="00664AE6" w:rsidRPr="008D1A63" w:rsidRDefault="00664AE6" w:rsidP="00664AE6">
    <w:pPr>
      <w:pStyle w:val="Header"/>
      <w:pBdr>
        <w:bottom w:val="single" w:sz="18" w:space="8" w:color="065D8B"/>
      </w:pBdr>
      <w:spacing w:after="480"/>
      <w:rPr>
        <w:color w:val="4D4D4F"/>
      </w:rPr>
    </w:pPr>
    <w:r w:rsidRPr="008D1A63">
      <w:rPr>
        <w:noProof/>
        <w:color w:val="4D4D4F"/>
      </w:rPr>
      <w:drawing>
        <wp:anchor distT="0" distB="0" distL="114300" distR="114300" simplePos="0" relativeHeight="251661312" behindDoc="0" locked="0" layoutInCell="1" allowOverlap="1" wp14:anchorId="12BBB061" wp14:editId="0876F559">
          <wp:simplePos x="0" y="0"/>
          <wp:positionH relativeFrom="margin">
            <wp:posOffset>5143500</wp:posOffset>
          </wp:positionH>
          <wp:positionV relativeFrom="margin">
            <wp:posOffset>-996315</wp:posOffset>
          </wp:positionV>
          <wp:extent cx="1259205" cy="321945"/>
          <wp:effectExtent l="0" t="0" r="0" b="1905"/>
          <wp:wrapSquare wrapText="bothSides"/>
          <wp:docPr id="3" name="Picture 3"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8D1A63">
      <w:rPr>
        <w:noProof/>
        <w:color w:val="4D4D4F"/>
      </w:rPr>
      <w:drawing>
        <wp:anchor distT="0" distB="0" distL="114300" distR="114300" simplePos="0" relativeHeight="251659264" behindDoc="0" locked="0" layoutInCell="1" allowOverlap="1" wp14:anchorId="4E224DE7" wp14:editId="318BD4C8">
          <wp:simplePos x="0" y="0"/>
          <wp:positionH relativeFrom="margin">
            <wp:posOffset>5141595</wp:posOffset>
          </wp:positionH>
          <wp:positionV relativeFrom="margin">
            <wp:posOffset>-1875790</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AD6E96" w:rsidRPr="008D1A63">
      <w:rPr>
        <w:color w:val="4D4D4F"/>
      </w:rPr>
      <w:t xml:space="preserve">Part B IDEA </w:t>
    </w:r>
    <w:r w:rsidRPr="008D1A63">
      <w:rPr>
        <w:color w:val="4D4D4F"/>
      </w:rPr>
      <w:t>Data Processes Toolkit</w:t>
    </w:r>
  </w:p>
  <w:p w14:paraId="24AF04C7" w14:textId="31F26947" w:rsidR="00664AE6" w:rsidRPr="00A30926" w:rsidRDefault="00664AE6" w:rsidP="00664AE6">
    <w:pPr>
      <w:pStyle w:val="Header"/>
      <w:pBdr>
        <w:bottom w:val="single" w:sz="18" w:space="8" w:color="065D8B"/>
      </w:pBdr>
      <w:spacing w:line="240" w:lineRule="atLeast"/>
      <w:jc w:val="center"/>
      <w:rPr>
        <w:color w:val="065D8B"/>
        <w:sz w:val="32"/>
        <w:szCs w:val="32"/>
      </w:rPr>
    </w:pPr>
    <w:r w:rsidRPr="00A30926">
      <w:rPr>
        <w:color w:val="065D8B"/>
        <w:sz w:val="32"/>
        <w:szCs w:val="32"/>
      </w:rPr>
      <w:t>Data Collection Protocol—</w:t>
    </w:r>
    <w:r>
      <w:rPr>
        <w:color w:val="105D89"/>
        <w:sz w:val="32"/>
        <w:szCs w:val="32"/>
      </w:rPr>
      <w:t>Indicator 3</w:t>
    </w:r>
    <w:r w:rsidR="00FF379E">
      <w:rPr>
        <w:color w:val="105D89"/>
        <w:sz w:val="32"/>
        <w:szCs w:val="32"/>
      </w:rPr>
      <w:t>. Assessment</w:t>
    </w:r>
  </w:p>
  <w:p w14:paraId="69571DE2" w14:textId="23E4A06A" w:rsidR="00664AE6" w:rsidRDefault="00664AE6" w:rsidP="00664AE6">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30FAF2B5" w:rsidR="00224864" w:rsidRPr="00664AE6" w:rsidRDefault="00E83BEC" w:rsidP="00664AE6">
    <w:pPr>
      <w:pStyle w:val="SL-FlLftSgl"/>
      <w:spacing w:after="240"/>
    </w:pPr>
    <w:bookmarkStart w:id="0" w:name="_GoBack"/>
    <w:r>
      <w:rPr>
        <w:noProof/>
      </w:rPr>
      <w:drawing>
        <wp:inline distT="0" distB="0" distL="0" distR="0" wp14:anchorId="263DE3BF" wp14:editId="4BEE0E09">
          <wp:extent cx="6400800" cy="151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B9322C7"/>
    <w:multiLevelType w:val="hybridMultilevel"/>
    <w:tmpl w:val="26B6623E"/>
    <w:lvl w:ilvl="0" w:tplc="D0141DA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2"/>
  </w:num>
  <w:num w:numId="20">
    <w:abstractNumId w:val="6"/>
  </w:num>
  <w:num w:numId="21">
    <w:abstractNumId w:val="8"/>
  </w:num>
  <w:num w:numId="22">
    <w:abstractNumId w:val="5"/>
  </w:num>
  <w:num w:numId="23">
    <w:abstractNumId w:val="30"/>
  </w:num>
  <w:num w:numId="24">
    <w:abstractNumId w:val="18"/>
  </w:num>
  <w:num w:numId="25">
    <w:abstractNumId w:val="21"/>
  </w:num>
  <w:num w:numId="26">
    <w:abstractNumId w:val="33"/>
  </w:num>
  <w:num w:numId="27">
    <w:abstractNumId w:val="23"/>
  </w:num>
  <w:num w:numId="28">
    <w:abstractNumId w:val="0"/>
  </w:num>
  <w:num w:numId="29">
    <w:abstractNumId w:val="31"/>
  </w:num>
  <w:num w:numId="30">
    <w:abstractNumId w:val="24"/>
  </w:num>
  <w:num w:numId="31">
    <w:abstractNumId w:val="19"/>
  </w:num>
  <w:num w:numId="32">
    <w:abstractNumId w:val="11"/>
  </w:num>
  <w:num w:numId="33">
    <w:abstractNumId w:val="4"/>
  </w:num>
  <w:num w:numId="34">
    <w:abstractNumId w:val="20"/>
  </w:num>
  <w:num w:numId="3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2FC"/>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350E9"/>
    <w:rsid w:val="00036AF4"/>
    <w:rsid w:val="000434D4"/>
    <w:rsid w:val="00043766"/>
    <w:rsid w:val="00043871"/>
    <w:rsid w:val="000447C2"/>
    <w:rsid w:val="00045FE6"/>
    <w:rsid w:val="00047085"/>
    <w:rsid w:val="000508BA"/>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1B48"/>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653B"/>
    <w:rsid w:val="00117B5D"/>
    <w:rsid w:val="00120A6B"/>
    <w:rsid w:val="00120F8A"/>
    <w:rsid w:val="00121A4A"/>
    <w:rsid w:val="00122502"/>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0714"/>
    <w:rsid w:val="001A10A2"/>
    <w:rsid w:val="001A3EB2"/>
    <w:rsid w:val="001A4463"/>
    <w:rsid w:val="001B097C"/>
    <w:rsid w:val="001B28AA"/>
    <w:rsid w:val="001B5686"/>
    <w:rsid w:val="001B5EB9"/>
    <w:rsid w:val="001B5FC1"/>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3A4"/>
    <w:rsid w:val="001E6F95"/>
    <w:rsid w:val="001F1397"/>
    <w:rsid w:val="0020213D"/>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5855"/>
    <w:rsid w:val="00240C22"/>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317C"/>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4B58"/>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53D8D"/>
    <w:rsid w:val="0036015E"/>
    <w:rsid w:val="0036587D"/>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27AF"/>
    <w:rsid w:val="004144E2"/>
    <w:rsid w:val="004148C7"/>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575F3"/>
    <w:rsid w:val="00462535"/>
    <w:rsid w:val="004660B2"/>
    <w:rsid w:val="0046645B"/>
    <w:rsid w:val="00466EA4"/>
    <w:rsid w:val="0047041E"/>
    <w:rsid w:val="00473BC1"/>
    <w:rsid w:val="004762B0"/>
    <w:rsid w:val="0047773F"/>
    <w:rsid w:val="00481DB2"/>
    <w:rsid w:val="00484DAF"/>
    <w:rsid w:val="0048700B"/>
    <w:rsid w:val="00493E51"/>
    <w:rsid w:val="0049624A"/>
    <w:rsid w:val="004976EC"/>
    <w:rsid w:val="004A0E76"/>
    <w:rsid w:val="004A4A73"/>
    <w:rsid w:val="004A58FC"/>
    <w:rsid w:val="004B045B"/>
    <w:rsid w:val="004B2B27"/>
    <w:rsid w:val="004B2C30"/>
    <w:rsid w:val="004B3AEF"/>
    <w:rsid w:val="004C285C"/>
    <w:rsid w:val="004C34BD"/>
    <w:rsid w:val="004C7029"/>
    <w:rsid w:val="004D0B15"/>
    <w:rsid w:val="004D0D4C"/>
    <w:rsid w:val="004D10FF"/>
    <w:rsid w:val="004D1C8E"/>
    <w:rsid w:val="004D3719"/>
    <w:rsid w:val="004D3A77"/>
    <w:rsid w:val="004D4E6B"/>
    <w:rsid w:val="004E04B5"/>
    <w:rsid w:val="004E5791"/>
    <w:rsid w:val="004E7AC1"/>
    <w:rsid w:val="004F4243"/>
    <w:rsid w:val="005019B6"/>
    <w:rsid w:val="005021DA"/>
    <w:rsid w:val="005024F5"/>
    <w:rsid w:val="00504F71"/>
    <w:rsid w:val="00505C83"/>
    <w:rsid w:val="0050714F"/>
    <w:rsid w:val="00510CA1"/>
    <w:rsid w:val="005126AD"/>
    <w:rsid w:val="00515FAD"/>
    <w:rsid w:val="00517BD9"/>
    <w:rsid w:val="00520882"/>
    <w:rsid w:val="00521630"/>
    <w:rsid w:val="00523E84"/>
    <w:rsid w:val="00525717"/>
    <w:rsid w:val="005265AD"/>
    <w:rsid w:val="00530423"/>
    <w:rsid w:val="00530722"/>
    <w:rsid w:val="00532531"/>
    <w:rsid w:val="00533355"/>
    <w:rsid w:val="00540C25"/>
    <w:rsid w:val="00542203"/>
    <w:rsid w:val="00546552"/>
    <w:rsid w:val="0054719E"/>
    <w:rsid w:val="00547DAF"/>
    <w:rsid w:val="00552D61"/>
    <w:rsid w:val="00553FB7"/>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35D9"/>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4AE6"/>
    <w:rsid w:val="00666087"/>
    <w:rsid w:val="00671347"/>
    <w:rsid w:val="00672712"/>
    <w:rsid w:val="00672E8F"/>
    <w:rsid w:val="006744C1"/>
    <w:rsid w:val="006756A3"/>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D53"/>
    <w:rsid w:val="006E532E"/>
    <w:rsid w:val="006E577E"/>
    <w:rsid w:val="006E5833"/>
    <w:rsid w:val="006E728A"/>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A63"/>
    <w:rsid w:val="007520D0"/>
    <w:rsid w:val="00755DE8"/>
    <w:rsid w:val="00761103"/>
    <w:rsid w:val="007611BA"/>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95AAB"/>
    <w:rsid w:val="007A2B25"/>
    <w:rsid w:val="007A35E4"/>
    <w:rsid w:val="007A3B59"/>
    <w:rsid w:val="007A4BF5"/>
    <w:rsid w:val="007A6619"/>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25B5"/>
    <w:rsid w:val="007E401F"/>
    <w:rsid w:val="007E4B3E"/>
    <w:rsid w:val="007F297A"/>
    <w:rsid w:val="007F32E5"/>
    <w:rsid w:val="007F34EF"/>
    <w:rsid w:val="007F5F19"/>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03D1"/>
    <w:rsid w:val="0086324B"/>
    <w:rsid w:val="0086444A"/>
    <w:rsid w:val="0086651E"/>
    <w:rsid w:val="00870647"/>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A63"/>
    <w:rsid w:val="008D1C6A"/>
    <w:rsid w:val="008D42EF"/>
    <w:rsid w:val="008D45A5"/>
    <w:rsid w:val="008D4A28"/>
    <w:rsid w:val="008D6E64"/>
    <w:rsid w:val="008E0A1F"/>
    <w:rsid w:val="008E1BB0"/>
    <w:rsid w:val="008E1E7A"/>
    <w:rsid w:val="008E2DBC"/>
    <w:rsid w:val="008E3610"/>
    <w:rsid w:val="008E58AF"/>
    <w:rsid w:val="008E6132"/>
    <w:rsid w:val="008E637E"/>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40319"/>
    <w:rsid w:val="00940883"/>
    <w:rsid w:val="00943EFC"/>
    <w:rsid w:val="00945E4E"/>
    <w:rsid w:val="00947CEC"/>
    <w:rsid w:val="00950A60"/>
    <w:rsid w:val="009531DE"/>
    <w:rsid w:val="009531DF"/>
    <w:rsid w:val="0095362B"/>
    <w:rsid w:val="0095517C"/>
    <w:rsid w:val="0095765A"/>
    <w:rsid w:val="00960868"/>
    <w:rsid w:val="0096125C"/>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2B29"/>
    <w:rsid w:val="009B6D7E"/>
    <w:rsid w:val="009B7527"/>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D6E96"/>
    <w:rsid w:val="00AE03C6"/>
    <w:rsid w:val="00AE1438"/>
    <w:rsid w:val="00AE382C"/>
    <w:rsid w:val="00AE4174"/>
    <w:rsid w:val="00AF1251"/>
    <w:rsid w:val="00AF3094"/>
    <w:rsid w:val="00AF7EF2"/>
    <w:rsid w:val="00B00A81"/>
    <w:rsid w:val="00B0395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250"/>
    <w:rsid w:val="00B64D2C"/>
    <w:rsid w:val="00B650B2"/>
    <w:rsid w:val="00B67140"/>
    <w:rsid w:val="00B70876"/>
    <w:rsid w:val="00B755EB"/>
    <w:rsid w:val="00B76718"/>
    <w:rsid w:val="00B77656"/>
    <w:rsid w:val="00B801A0"/>
    <w:rsid w:val="00B8213A"/>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6C99"/>
    <w:rsid w:val="00C274BD"/>
    <w:rsid w:val="00C41ADD"/>
    <w:rsid w:val="00C43409"/>
    <w:rsid w:val="00C44186"/>
    <w:rsid w:val="00C4638A"/>
    <w:rsid w:val="00C4710C"/>
    <w:rsid w:val="00C479D9"/>
    <w:rsid w:val="00C50612"/>
    <w:rsid w:val="00C61ED2"/>
    <w:rsid w:val="00C670DD"/>
    <w:rsid w:val="00C67698"/>
    <w:rsid w:val="00C67DF0"/>
    <w:rsid w:val="00C70558"/>
    <w:rsid w:val="00C76DBD"/>
    <w:rsid w:val="00C81152"/>
    <w:rsid w:val="00C85FED"/>
    <w:rsid w:val="00C87C2C"/>
    <w:rsid w:val="00C9296E"/>
    <w:rsid w:val="00C92BEE"/>
    <w:rsid w:val="00C93C4D"/>
    <w:rsid w:val="00C959DC"/>
    <w:rsid w:val="00CA1E57"/>
    <w:rsid w:val="00CA2A85"/>
    <w:rsid w:val="00CA311D"/>
    <w:rsid w:val="00CA3ACA"/>
    <w:rsid w:val="00CA4EC1"/>
    <w:rsid w:val="00CA50B7"/>
    <w:rsid w:val="00CA576F"/>
    <w:rsid w:val="00CA7413"/>
    <w:rsid w:val="00CB01DE"/>
    <w:rsid w:val="00CB081A"/>
    <w:rsid w:val="00CB12AF"/>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2BEB"/>
    <w:rsid w:val="00D256B0"/>
    <w:rsid w:val="00D302BC"/>
    <w:rsid w:val="00D30BA3"/>
    <w:rsid w:val="00D334F4"/>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0A32"/>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3305"/>
    <w:rsid w:val="00E64692"/>
    <w:rsid w:val="00E65595"/>
    <w:rsid w:val="00E67424"/>
    <w:rsid w:val="00E67817"/>
    <w:rsid w:val="00E701C9"/>
    <w:rsid w:val="00E70DFB"/>
    <w:rsid w:val="00E718C8"/>
    <w:rsid w:val="00E71BE1"/>
    <w:rsid w:val="00E72CE1"/>
    <w:rsid w:val="00E75816"/>
    <w:rsid w:val="00E76D87"/>
    <w:rsid w:val="00E81698"/>
    <w:rsid w:val="00E82143"/>
    <w:rsid w:val="00E83BEC"/>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AD3"/>
    <w:rsid w:val="00EC2D87"/>
    <w:rsid w:val="00EC389D"/>
    <w:rsid w:val="00EC5256"/>
    <w:rsid w:val="00ED067F"/>
    <w:rsid w:val="00ED0C2B"/>
    <w:rsid w:val="00ED29E8"/>
    <w:rsid w:val="00ED3B35"/>
    <w:rsid w:val="00ED4FC8"/>
    <w:rsid w:val="00ED5570"/>
    <w:rsid w:val="00ED63AC"/>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6028"/>
    <w:rsid w:val="00F30485"/>
    <w:rsid w:val="00F31973"/>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40BB"/>
    <w:rsid w:val="00FC4661"/>
    <w:rsid w:val="00FC6153"/>
    <w:rsid w:val="00FC64BE"/>
    <w:rsid w:val="00FC6A9C"/>
    <w:rsid w:val="00FD1965"/>
    <w:rsid w:val="00FD1D0E"/>
    <w:rsid w:val="00FD4BF9"/>
    <w:rsid w:val="00FD4C51"/>
    <w:rsid w:val="00FD7E6B"/>
    <w:rsid w:val="00FE4FF8"/>
    <w:rsid w:val="00FE54B5"/>
    <w:rsid w:val="00FE5E10"/>
    <w:rsid w:val="00FE64E7"/>
    <w:rsid w:val="00FE7767"/>
    <w:rsid w:val="00FF045F"/>
    <w:rsid w:val="00FF1233"/>
    <w:rsid w:val="00FF1595"/>
    <w:rsid w:val="00FF1D55"/>
    <w:rsid w:val="00FF33B8"/>
    <w:rsid w:val="00FF379E"/>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9D3EE"/>
  <w15:docId w15:val="{C77E1A0D-73DE-4C56-A164-DD998091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paragraph" w:styleId="EndnoteText">
    <w:name w:val="endnote text"/>
    <w:basedOn w:val="Normal"/>
    <w:link w:val="EndnoteTextChar"/>
    <w:uiPriority w:val="99"/>
    <w:semiHidden/>
    <w:unhideWhenUsed/>
    <w:rsid w:val="008E6132"/>
    <w:pPr>
      <w:spacing w:line="240" w:lineRule="auto"/>
    </w:pPr>
    <w:rPr>
      <w:sz w:val="20"/>
    </w:rPr>
  </w:style>
  <w:style w:type="character" w:customStyle="1" w:styleId="EndnoteTextChar">
    <w:name w:val="Endnote Text Char"/>
    <w:basedOn w:val="DefaultParagraphFont"/>
    <w:link w:val="EndnoteText"/>
    <w:uiPriority w:val="99"/>
    <w:semiHidden/>
    <w:rsid w:val="008E6132"/>
    <w:rPr>
      <w:rFonts w:asciiTheme="minorHAnsi" w:hAnsiTheme="minorHAnsi"/>
    </w:rPr>
  </w:style>
  <w:style w:type="character" w:styleId="EndnoteReference">
    <w:name w:val="endnote reference"/>
    <w:basedOn w:val="DefaultParagraphFont"/>
    <w:uiPriority w:val="99"/>
    <w:semiHidden/>
    <w:unhideWhenUsed/>
    <w:rsid w:val="008E6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0769-4218-45D3-AF0B-43AB45A1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Vanessa Ofori</cp:lastModifiedBy>
  <cp:revision>2</cp:revision>
  <cp:lastPrinted>2015-11-12T14:28:00Z</cp:lastPrinted>
  <dcterms:created xsi:type="dcterms:W3CDTF">2018-11-01T15:07:00Z</dcterms:created>
  <dcterms:modified xsi:type="dcterms:W3CDTF">2018-11-01T15:07:00Z</dcterms:modified>
</cp:coreProperties>
</file>