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FFCB" w14:textId="5CFE0CA2" w:rsidR="002A3E93" w:rsidRPr="00FA3124" w:rsidRDefault="00FA3124" w:rsidP="00652F78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4976EC" w14:paraId="16ECABDB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C5AEAC1" w14:textId="573B5DCB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Indicator </w:t>
            </w:r>
            <w:proofErr w:type="spellStart"/>
            <w:r>
              <w:rPr>
                <w:rFonts w:asciiTheme="minorHAnsi" w:hAnsiTheme="minorHAnsi"/>
              </w:rPr>
              <w:t>Description:</w:t>
            </w:r>
            <w:r w:rsidR="00D0379E">
              <w:rPr>
                <w:rFonts w:asciiTheme="minorHAnsi" w:hAnsiTheme="minorHAnsi"/>
              </w:rPr>
              <w:t>asrd</w:t>
            </w:r>
            <w:proofErr w:type="spellEnd"/>
          </w:p>
        </w:tc>
      </w:tr>
      <w:tr w:rsidR="00900525" w:rsidRPr="004976EC" w14:paraId="0F439275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7DCD0337" w:rsidR="00900525" w:rsidRPr="00F0230E" w:rsidRDefault="00CE5CC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F0230E">
              <w:rPr>
                <w:rFonts w:cs="Arial"/>
                <w:color w:val="000000" w:themeColor="text1"/>
                <w:szCs w:val="24"/>
              </w:rPr>
              <w:t xml:space="preserve">Percent of youth with </w:t>
            </w:r>
            <w:r w:rsidR="002A3E93" w:rsidRPr="00F0230E">
              <w:rPr>
                <w:rFonts w:cs="Arial"/>
                <w:color w:val="000000" w:themeColor="text1"/>
                <w:szCs w:val="24"/>
              </w:rPr>
              <w:t>individualized education programs (</w:t>
            </w:r>
            <w:r w:rsidRPr="00F0230E">
              <w:rPr>
                <w:rFonts w:cs="Arial"/>
                <w:color w:val="000000" w:themeColor="text1"/>
                <w:szCs w:val="24"/>
              </w:rPr>
              <w:t>IEPs</w:t>
            </w:r>
            <w:r w:rsidR="002A3E93" w:rsidRPr="00F0230E">
              <w:rPr>
                <w:rFonts w:cs="Arial"/>
                <w:color w:val="000000" w:themeColor="text1"/>
                <w:szCs w:val="24"/>
              </w:rPr>
              <w:t>)</w:t>
            </w:r>
            <w:r w:rsidRPr="00F0230E">
              <w:rPr>
                <w:rFonts w:cs="Arial"/>
                <w:color w:val="000000" w:themeColor="text1"/>
                <w:szCs w:val="24"/>
              </w:rPr>
              <w:t xml:space="preserve"> dropping out of high school.</w:t>
            </w:r>
          </w:p>
        </w:tc>
      </w:tr>
      <w:tr w:rsidR="00900525" w:rsidRPr="004976EC" w14:paraId="3EFB3D87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2E564754" w14:textId="5BF449D0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900525" w:rsidRPr="004976EC" w14:paraId="51C75527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EECC881" w14:textId="56C172EC" w:rsidR="00900525" w:rsidRPr="00F0230E" w:rsidRDefault="0071293E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4"/>
              </w:rPr>
            </w:pPr>
            <w:r w:rsidRPr="00F0230E">
              <w:rPr>
                <w:rFonts w:cs="Arial"/>
                <w:b/>
                <w:szCs w:val="24"/>
              </w:rPr>
              <w:t>Option 1:</w:t>
            </w:r>
            <w:r w:rsidRPr="00F0230E">
              <w:rPr>
                <w:rFonts w:cs="Arial"/>
                <w:szCs w:val="24"/>
              </w:rPr>
              <w:t xml:space="preserve"> </w:t>
            </w:r>
            <w:r w:rsidR="00CE5CC5" w:rsidRPr="00F0230E">
              <w:rPr>
                <w:rFonts w:cs="Arial"/>
                <w:szCs w:val="24"/>
              </w:rPr>
              <w:t>States must report a percentage using the number of youth with IEPs (ages 14-21) who exited special education due to dropping out in the numerator and the number of all youth with IEPs who left high school (ages 14-21) in the denominator.</w:t>
            </w:r>
          </w:p>
          <w:p w14:paraId="1BE7A359" w14:textId="77777777" w:rsidR="00D726BC" w:rsidRPr="00F0230E" w:rsidRDefault="00D726BC" w:rsidP="00652F78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F0230E">
              <w:rPr>
                <w:rFonts w:asciiTheme="minorHAnsi" w:hAnsiTheme="minorHAnsi"/>
                <w:b w:val="0"/>
                <w:color w:val="auto"/>
              </w:rPr>
              <w:t>Include in the denominator the following exiting categories: (a) graduated with a regular high school diploma; (b) received a certificate; (c) reached maximum age; (d) dropped out; or (e) died.</w:t>
            </w:r>
          </w:p>
          <w:p w14:paraId="2F73A988" w14:textId="134C191C" w:rsidR="00D726BC" w:rsidRDefault="00D726BC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F0230E">
              <w:rPr>
                <w:szCs w:val="24"/>
              </w:rPr>
              <w:t>Do not include in the denominator the number of youths with IEPs who exited special education due to: (a) transferring to regular education; or (b) who moved, but are known to be continuing in education.</w:t>
            </w:r>
          </w:p>
          <w:p w14:paraId="696C153F" w14:textId="437F8ED5" w:rsidR="00E51C34" w:rsidRPr="00F0230E" w:rsidRDefault="00E51C34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t xml:space="preserve">Same data as used for reporting to the Department under section 618 of the Individuals with Disabilities Education Act (IDEA), using the definitions in </w:t>
            </w:r>
            <w:proofErr w:type="spellStart"/>
            <w:r>
              <w:t>ED</w:t>
            </w:r>
            <w:r w:rsidRPr="00E51C34">
              <w:rPr>
                <w:i/>
              </w:rPr>
              <w:t>Facts</w:t>
            </w:r>
            <w:proofErr w:type="spellEnd"/>
            <w:r w:rsidR="000B4274">
              <w:t xml:space="preserve"> file specification FS</w:t>
            </w:r>
            <w:r>
              <w:t>009.</w:t>
            </w:r>
          </w:p>
          <w:p w14:paraId="7035B7AD" w14:textId="20565D48" w:rsidR="0071293E" w:rsidRPr="00F0230E" w:rsidRDefault="0071293E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F0230E">
              <w:rPr>
                <w:b/>
                <w:szCs w:val="24"/>
              </w:rPr>
              <w:t xml:space="preserve">Option 2: </w:t>
            </w:r>
            <w:r w:rsidRPr="00F0230E">
              <w:rPr>
                <w:szCs w:val="24"/>
              </w:rPr>
              <w:t>Use same data source and measurement that the State used to report in its FFY 2010 SPP/APR that was submitted on February 1, 2012.</w:t>
            </w:r>
          </w:p>
          <w:p w14:paraId="0C35AD5B" w14:textId="77777777" w:rsidR="0071293E" w:rsidRPr="00F0230E" w:rsidRDefault="0071293E" w:rsidP="00652F78">
            <w:pPr>
              <w:spacing w:before="120" w:after="120"/>
              <w:rPr>
                <w:rFonts w:cs="Arial"/>
                <w:szCs w:val="24"/>
              </w:rPr>
            </w:pPr>
            <w:r w:rsidRPr="00F0230E">
              <w:rPr>
                <w:rFonts w:cs="Arial"/>
                <w:szCs w:val="24"/>
              </w:rPr>
              <w:t xml:space="preserve">Use the annual event school dropout rate for students leaving a school in a single year determined in accordance with the National Center for Education Statistic's Common Core of Data.  </w:t>
            </w:r>
          </w:p>
          <w:p w14:paraId="02482FB0" w14:textId="5C169E07" w:rsidR="0071293E" w:rsidRPr="00F0230E" w:rsidRDefault="0071293E" w:rsidP="00652F78">
            <w:pPr>
              <w:spacing w:before="120" w:after="120"/>
              <w:rPr>
                <w:rFonts w:cs="Arial"/>
                <w:szCs w:val="24"/>
              </w:rPr>
            </w:pPr>
            <w:r w:rsidRPr="00F0230E">
              <w:rPr>
                <w:rFonts w:cs="Arial"/>
                <w:szCs w:val="24"/>
              </w:rPr>
              <w:t>If the State has made or proposes to make changes to the data source or measurement under Option 2, when compared to the information reported in its FFY 2010 SPP/APR submitted on February 1, 2012, the State should include a justification as to why such changes are warranted.</w:t>
            </w:r>
          </w:p>
          <w:p w14:paraId="47743FFB" w14:textId="6E2020CC" w:rsidR="0071293E" w:rsidRPr="00652F78" w:rsidRDefault="00BC48F5" w:rsidP="00FD0C8C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 w:rsidRPr="00F0230E">
              <w:rPr>
                <w:rFonts w:cs="Arial"/>
                <w:b/>
                <w:szCs w:val="24"/>
              </w:rPr>
              <w:t>Option 1 and 2</w:t>
            </w:r>
            <w:r w:rsidRPr="00F0230E">
              <w:rPr>
                <w:rFonts w:cs="Arial"/>
                <w:szCs w:val="24"/>
              </w:rPr>
              <w:t>: Describe the results of the state’s examination of the data for the year before the reporting year (e.g.</w:t>
            </w:r>
            <w:r w:rsidR="00FD0C8C">
              <w:rPr>
                <w:rFonts w:cs="Arial"/>
                <w:szCs w:val="24"/>
              </w:rPr>
              <w:t>,</w:t>
            </w:r>
            <w:r w:rsidRPr="00F0230E">
              <w:rPr>
                <w:rFonts w:cs="Arial"/>
                <w:szCs w:val="24"/>
              </w:rPr>
              <w:t xml:space="preserve"> for the FFY 201</w:t>
            </w:r>
            <w:r w:rsidR="00957F78" w:rsidRPr="00F0230E">
              <w:rPr>
                <w:rFonts w:cs="Arial"/>
                <w:szCs w:val="24"/>
              </w:rPr>
              <w:t>8</w:t>
            </w:r>
            <w:r w:rsidRPr="00F0230E">
              <w:rPr>
                <w:rFonts w:cs="Arial"/>
                <w:szCs w:val="24"/>
              </w:rPr>
              <w:t xml:space="preserve"> SPP/APR, use data from the 201</w:t>
            </w:r>
            <w:r w:rsidR="00957F78" w:rsidRPr="00F0230E">
              <w:rPr>
                <w:rFonts w:cs="Arial"/>
                <w:szCs w:val="24"/>
              </w:rPr>
              <w:t>7</w:t>
            </w:r>
            <w:r w:rsidRPr="00F0230E">
              <w:rPr>
                <w:rFonts w:cs="Arial"/>
                <w:szCs w:val="24"/>
              </w:rPr>
              <w:t>-201</w:t>
            </w:r>
            <w:r w:rsidR="00957F78" w:rsidRPr="00F0230E">
              <w:rPr>
                <w:rFonts w:cs="Arial"/>
                <w:szCs w:val="24"/>
              </w:rPr>
              <w:t>8</w:t>
            </w:r>
            <w:r w:rsidRPr="00F0230E">
              <w:rPr>
                <w:rFonts w:cs="Arial"/>
                <w:szCs w:val="24"/>
              </w:rPr>
              <w:t>), and compare the results to the target</w:t>
            </w:r>
            <w:r w:rsidR="00652F78" w:rsidRPr="00F0230E">
              <w:rPr>
                <w:rFonts w:cs="Arial"/>
                <w:szCs w:val="24"/>
              </w:rPr>
              <w:t>.</w:t>
            </w:r>
          </w:p>
        </w:tc>
      </w:tr>
      <w:tr w:rsidR="00900525" w:rsidRPr="004976EC" w14:paraId="0169C6B2" w14:textId="77777777" w:rsidTr="00652F78">
        <w:trPr>
          <w:cantSplit/>
          <w:trHeight w:val="523"/>
        </w:trPr>
        <w:tc>
          <w:tcPr>
            <w:tcW w:w="10070" w:type="dxa"/>
            <w:shd w:val="clear" w:color="auto" w:fill="065D8B"/>
          </w:tcPr>
          <w:p w14:paraId="671A9241" w14:textId="65652AF1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B542A0">
              <w:rPr>
                <w:rFonts w:asciiTheme="minorHAnsi" w:hAnsiTheme="minorHAnsi"/>
                <w:b w:val="0"/>
              </w:rPr>
              <w:t>your</w:t>
            </w:r>
            <w:r w:rsidR="003812C1">
              <w:rPr>
                <w:rFonts w:asciiTheme="minorHAnsi" w:hAnsiTheme="minorHAnsi"/>
                <w:b w:val="0"/>
              </w:rPr>
              <w:t xml:space="preserve">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DE3FB0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652F78" w14:paraId="3E36889D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0062AD03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7000B501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4D23C31B" w14:textId="30657D49" w:rsidR="00900525" w:rsidRPr="004976EC" w:rsidRDefault="00023A9A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4A77E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41116C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652F78" w14:paraId="5F7B085C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F0230E" w:rsidRDefault="00900525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307F4C96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DFCA62A" w14:textId="41386E46" w:rsidR="00900525" w:rsidRPr="004976EC" w:rsidRDefault="006864B8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900525" w:rsidRPr="004976EC">
              <w:rPr>
                <w:rFonts w:asciiTheme="minorHAnsi" w:hAnsiTheme="minorHAnsi"/>
              </w:rPr>
              <w:t xml:space="preserve"> 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validation, and submission. If there are multiple parties responsible or involved in the process, list them all</w:t>
            </w:r>
            <w:r w:rsidR="00900525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652F78" w14:paraId="7525C4B3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4FDC5362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785FE997" w14:textId="77777777" w:rsidTr="00652F78">
        <w:trPr>
          <w:cantSplit/>
          <w:trHeight w:val="685"/>
        </w:trPr>
        <w:tc>
          <w:tcPr>
            <w:tcW w:w="10070" w:type="dxa"/>
            <w:shd w:val="clear" w:color="auto" w:fill="065D8B"/>
          </w:tcPr>
          <w:p w14:paraId="44F7FADE" w14:textId="5D31CDA0" w:rsidR="00900525" w:rsidRPr="00913C47" w:rsidRDefault="00900525" w:rsidP="004A77E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 or data system</w:t>
            </w:r>
            <w:r w:rsidR="00DE3FB0">
              <w:rPr>
                <w:rFonts w:asciiTheme="minorHAnsi" w:hAnsiTheme="minorHAnsi"/>
                <w:b w:val="0"/>
              </w:rPr>
              <w:t xml:space="preserve"> </w:t>
            </w:r>
            <w:r w:rsidR="00B542A0">
              <w:rPr>
                <w:rFonts w:asciiTheme="minorHAnsi" w:hAnsiTheme="minorHAnsi"/>
                <w:b w:val="0"/>
              </w:rPr>
              <w:t>your</w:t>
            </w:r>
            <w:r w:rsidR="00DE3FB0">
              <w:rPr>
                <w:rFonts w:asciiTheme="minorHAnsi" w:hAnsiTheme="minorHAnsi"/>
                <w:b w:val="0"/>
              </w:rPr>
              <w:t xml:space="preserve"> state</w:t>
            </w:r>
            <w:r w:rsidRPr="007B62A4">
              <w:rPr>
                <w:rFonts w:asciiTheme="minorHAnsi" w:hAnsiTheme="minorHAnsi"/>
                <w:b w:val="0"/>
              </w:rPr>
              <w:t xml:space="preserve"> use</w:t>
            </w:r>
            <w:r w:rsidR="00DE3FB0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 w:rsidR="00A00B9E">
              <w:rPr>
                <w:rFonts w:asciiTheme="minorHAnsi" w:hAnsiTheme="minorHAnsi"/>
                <w:b w:val="0"/>
              </w:rPr>
              <w:t>.</w:t>
            </w:r>
            <w:r w:rsidR="004A77E4" w:rsidRPr="004A77E4">
              <w:rPr>
                <w:rFonts w:asciiTheme="minorHAnsi" w:hAnsiTheme="minorHAnsi"/>
                <w:b w:val="0"/>
              </w:rPr>
              <w:t xml:space="preserve"> Consider connecting to 618 data protocol for description of data.</w:t>
            </w:r>
            <w:r w:rsidR="00A95635" w:rsidRPr="00E160BE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</w:p>
        </w:tc>
      </w:tr>
      <w:tr w:rsidR="003B05B6" w:rsidRPr="004976EC" w14:paraId="06D96E71" w14:textId="77777777" w:rsidTr="00652F78">
        <w:trPr>
          <w:cantSplit/>
          <w:trHeight w:val="379"/>
        </w:trPr>
        <w:tc>
          <w:tcPr>
            <w:tcW w:w="10070" w:type="dxa"/>
            <w:shd w:val="clear" w:color="auto" w:fill="82AEC5"/>
          </w:tcPr>
          <w:p w14:paraId="52250A10" w14:textId="77777777" w:rsidR="00AC5E9E" w:rsidRDefault="00A31894" w:rsidP="00FD0C8C">
            <w:pPr>
              <w:pStyle w:val="SL-FlLftSgl"/>
              <w:ind w:left="1318" w:hanging="1318"/>
              <w:rPr>
                <w:rFonts w:asciiTheme="minorHAnsi" w:hAnsiTheme="minorHAnsi"/>
                <w:color w:val="auto"/>
              </w:rPr>
            </w:pPr>
            <w:proofErr w:type="spellStart"/>
            <w:r w:rsidRPr="00126E95">
              <w:rPr>
                <w:rFonts w:asciiTheme="minorHAnsi" w:hAnsiTheme="minorHAnsi"/>
                <w:color w:val="auto"/>
              </w:rPr>
              <w:t>ED</w:t>
            </w:r>
            <w:r w:rsidRPr="00126E95">
              <w:rPr>
                <w:rFonts w:asciiTheme="minorHAnsi" w:hAnsiTheme="minorHAnsi"/>
                <w:i/>
                <w:color w:val="auto"/>
              </w:rPr>
              <w:t>Facts</w:t>
            </w:r>
            <w:proofErr w:type="spellEnd"/>
            <w:r w:rsidRPr="00126E95">
              <w:rPr>
                <w:rFonts w:asciiTheme="minorHAnsi" w:hAnsiTheme="minorHAnsi"/>
                <w:color w:val="auto"/>
              </w:rPr>
              <w:t xml:space="preserve"> file</w:t>
            </w:r>
            <w:r w:rsidR="00AC5E9E">
              <w:rPr>
                <w:rFonts w:asciiTheme="minorHAnsi" w:hAnsiTheme="minorHAnsi"/>
                <w:color w:val="auto"/>
              </w:rPr>
              <w:t>s</w:t>
            </w:r>
            <w:r w:rsidRPr="00126E95">
              <w:rPr>
                <w:rFonts w:asciiTheme="minorHAnsi" w:hAnsiTheme="minorHAnsi"/>
                <w:color w:val="auto"/>
              </w:rPr>
              <w:t>:</w:t>
            </w:r>
          </w:p>
          <w:p w14:paraId="0C1206D0" w14:textId="7F59658D" w:rsidR="003B05B6" w:rsidRDefault="00AC5E9E" w:rsidP="00FD0C8C">
            <w:pPr>
              <w:pStyle w:val="SL-FlLftSgl"/>
              <w:ind w:left="1318" w:hanging="1318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Option 1: </w:t>
            </w:r>
            <w:r w:rsidR="006C5084">
              <w:rPr>
                <w:rFonts w:asciiTheme="minorHAnsi" w:hAnsiTheme="minorHAnsi"/>
                <w:b w:val="0"/>
                <w:color w:val="auto"/>
              </w:rPr>
              <w:t>FS</w:t>
            </w:r>
            <w:r w:rsidR="00A31894" w:rsidRPr="00A31894">
              <w:rPr>
                <w:rFonts w:asciiTheme="minorHAnsi" w:hAnsiTheme="minorHAnsi"/>
                <w:b w:val="0"/>
                <w:color w:val="auto"/>
              </w:rPr>
              <w:t>009—Children with Disabilities (IDEA) Exiting Special Education</w:t>
            </w:r>
          </w:p>
          <w:p w14:paraId="0BBA5848" w14:textId="43820295" w:rsidR="00AC5E9E" w:rsidRPr="003B05B6" w:rsidRDefault="00AC5E9E" w:rsidP="00FD0C8C">
            <w:pPr>
              <w:pStyle w:val="SL-FlLftSgl"/>
              <w:ind w:left="1318" w:hanging="1318"/>
              <w:rPr>
                <w:rFonts w:asciiTheme="minorHAnsi" w:hAnsiTheme="minorHAnsi"/>
                <w:b w:val="0"/>
              </w:rPr>
            </w:pPr>
            <w:r w:rsidRPr="00901253">
              <w:rPr>
                <w:rFonts w:asciiTheme="minorHAnsi" w:hAnsiTheme="minorHAnsi"/>
                <w:color w:val="auto"/>
              </w:rPr>
              <w:t xml:space="preserve">Option 2: </w:t>
            </w:r>
            <w:r w:rsidRPr="00901253">
              <w:rPr>
                <w:rFonts w:asciiTheme="minorHAnsi" w:hAnsiTheme="minorHAnsi"/>
                <w:b w:val="0"/>
                <w:color w:val="auto"/>
              </w:rPr>
              <w:t>FS032 — Dropouts</w:t>
            </w:r>
          </w:p>
        </w:tc>
      </w:tr>
      <w:tr w:rsidR="00900525" w:rsidRPr="00652F78" w14:paraId="6AA99A3A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47136B5D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0CC470AA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0245458" w14:textId="2980C5E7" w:rsidR="00900525" w:rsidRPr="00D433C6" w:rsidRDefault="00900525" w:rsidP="00FD0C8C">
            <w:pPr>
              <w:pStyle w:val="SL-FlLftSgl"/>
              <w:rPr>
                <w:rFonts w:asciiTheme="minorHAnsi" w:hAnsiTheme="minorHAnsi"/>
                <w:b w:val="0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="00E160BE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307FA5">
              <w:rPr>
                <w:rFonts w:asciiTheme="minorHAnsi" w:hAnsiTheme="minorHAnsi"/>
                <w:b w:val="0"/>
              </w:rPr>
              <w:t>,</w:t>
            </w:r>
            <w:r w:rsidR="00E160BE">
              <w:rPr>
                <w:rFonts w:asciiTheme="minorHAnsi" w:hAnsiTheme="minorHAnsi"/>
                <w:b w:val="0"/>
              </w:rPr>
              <w:t xml:space="preserve"> including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E160BE">
              <w:rPr>
                <w:rFonts w:asciiTheme="minorHAnsi" w:hAnsiTheme="minorHAnsi"/>
                <w:b w:val="0"/>
              </w:rPr>
              <w:t>,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E160BE">
              <w:rPr>
                <w:rFonts w:asciiTheme="minorHAnsi" w:hAnsiTheme="minorHAnsi"/>
                <w:b w:val="0"/>
              </w:rPr>
              <w:t>from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E160BE" w:rsidRPr="009622EA">
              <w:rPr>
                <w:rFonts w:asciiTheme="minorHAnsi" w:hAnsiTheme="minorHAnsi"/>
                <w:b w:val="0"/>
              </w:rPr>
              <w:t>local</w:t>
            </w:r>
            <w:r w:rsidR="00E160BE">
              <w:rPr>
                <w:rFonts w:asciiTheme="minorHAnsi" w:hAnsiTheme="minorHAnsi"/>
                <w:b w:val="0"/>
              </w:rPr>
              <w:t xml:space="preserve"> education agencies (LEAs)</w:t>
            </w:r>
            <w:r w:rsidR="00F2722A">
              <w:rPr>
                <w:rFonts w:asciiTheme="minorHAnsi" w:hAnsiTheme="minorHAnsi"/>
                <w:b w:val="0"/>
              </w:rPr>
              <w:t xml:space="preserve">, and 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when </w:t>
            </w:r>
            <w:r w:rsidR="00B542A0">
              <w:rPr>
                <w:rFonts w:asciiTheme="minorHAnsi" w:hAnsiTheme="minorHAnsi"/>
                <w:b w:val="0"/>
              </w:rPr>
              <w:t>assigned staff</w:t>
            </w:r>
            <w:r w:rsidR="00DE3FB0">
              <w:rPr>
                <w:rFonts w:asciiTheme="minorHAnsi" w:hAnsiTheme="minorHAnsi"/>
                <w:b w:val="0"/>
              </w:rPr>
              <w:t xml:space="preserve"> pull</w:t>
            </w:r>
            <w:r w:rsidR="00F0230E">
              <w:rPr>
                <w:rFonts w:asciiTheme="minorHAnsi" w:hAnsiTheme="minorHAnsi"/>
                <w:b w:val="0"/>
              </w:rPr>
              <w:t xml:space="preserve"> </w:t>
            </w:r>
            <w:r w:rsidR="00B542A0">
              <w:rPr>
                <w:rFonts w:asciiTheme="minorHAnsi" w:hAnsiTheme="minorHAnsi"/>
                <w:b w:val="0"/>
              </w:rPr>
              <w:t xml:space="preserve">the 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data </w:t>
            </w:r>
            <w:r w:rsidR="00F2722A">
              <w:rPr>
                <w:rFonts w:asciiTheme="minorHAnsi" w:hAnsiTheme="minorHAnsi"/>
                <w:b w:val="0"/>
              </w:rPr>
              <w:t>after the collection closes</w:t>
            </w:r>
            <w:r w:rsidR="00E160BE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652F78" w14:paraId="404BDE4F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7A7BA67C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99C64ED" w14:textId="77777777" w:rsidR="00E2128C" w:rsidRPr="004976EC" w:rsidRDefault="00E2128C" w:rsidP="00E2128C"/>
    <w:p w14:paraId="1C781845" w14:textId="77777777" w:rsidR="00652F78" w:rsidRDefault="00652F78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2F37B9B" w14:textId="2964D625" w:rsidR="002A3E93" w:rsidRPr="00652F78" w:rsidRDefault="00FA3124" w:rsidP="00652F78">
      <w:pPr>
        <w:pStyle w:val="C1-CtrBoldHd"/>
        <w:spacing w:after="240"/>
        <w:rPr>
          <w:rFonts w:asciiTheme="minorHAnsi" w:hAnsiTheme="minorHAnsi"/>
          <w:color w:val="199387"/>
        </w:rPr>
      </w:pPr>
      <w:r w:rsidRPr="00652F7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4976EC" w14:paraId="5ED0E33A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753DCC3B" w14:textId="31BC50C3" w:rsidR="00E2128C" w:rsidRPr="004976EC" w:rsidRDefault="000A5F35" w:rsidP="00122901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7229A7" w:rsidRPr="004976EC">
              <w:rPr>
                <w:rFonts w:asciiTheme="minorHAnsi" w:hAnsiTheme="minorHAnsi"/>
                <w:b w:val="0"/>
              </w:rPr>
              <w:t>Provid</w:t>
            </w:r>
            <w:r w:rsidR="007229A7">
              <w:rPr>
                <w:rFonts w:asciiTheme="minorHAnsi" w:hAnsiTheme="minorHAnsi"/>
                <w:b w:val="0"/>
              </w:rPr>
              <w:t xml:space="preserve">e detailed information about the origin </w:t>
            </w:r>
            <w:r w:rsidR="00122901">
              <w:rPr>
                <w:rFonts w:asciiTheme="minorHAnsi" w:hAnsiTheme="minorHAnsi"/>
                <w:b w:val="0"/>
              </w:rPr>
              <w:t xml:space="preserve">and collection of the data, including </w:t>
            </w:r>
            <w:r w:rsidR="007229A7">
              <w:rPr>
                <w:rFonts w:asciiTheme="minorHAnsi" w:hAnsiTheme="minorHAnsi"/>
                <w:b w:val="0"/>
              </w:rPr>
              <w:t>titles of persons responsible.</w:t>
            </w:r>
          </w:p>
        </w:tc>
      </w:tr>
      <w:tr w:rsidR="00E2128C" w:rsidRPr="00652F78" w14:paraId="2B2398CD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EAA0236" w14:textId="2A22230C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7D398DF5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0FA9B962" w14:textId="41D06FE5" w:rsidR="00E2128C" w:rsidRPr="00F0230E" w:rsidRDefault="00E2128C" w:rsidP="00DE3FB0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Data Validation:</w:t>
            </w:r>
            <w:r w:rsidR="008D42EF" w:rsidRPr="00F0230E">
              <w:rPr>
                <w:rFonts w:asciiTheme="minorHAnsi" w:hAnsiTheme="minorHAnsi"/>
                <w:b w:val="0"/>
              </w:rPr>
              <w:t xml:space="preserve"> </w:t>
            </w:r>
            <w:r w:rsidR="00096FA2" w:rsidRPr="00F0230E">
              <w:rPr>
                <w:rFonts w:asciiTheme="minorHAnsi" w:hAnsiTheme="minorHAnsi"/>
                <w:b w:val="0"/>
              </w:rPr>
              <w:t>Describe the data cleaning processes</w:t>
            </w:r>
            <w:r w:rsidR="00E160BE" w:rsidRPr="00F0230E">
              <w:rPr>
                <w:rFonts w:asciiTheme="minorHAnsi" w:hAnsiTheme="minorHAnsi"/>
                <w:b w:val="0"/>
              </w:rPr>
              <w:t xml:space="preserve"> and any other processes</w:t>
            </w:r>
            <w:r w:rsidR="00F0230E">
              <w:rPr>
                <w:rFonts w:asciiTheme="minorHAnsi" w:hAnsiTheme="minorHAnsi"/>
                <w:b w:val="0"/>
              </w:rPr>
              <w:t xml:space="preserve"> your</w:t>
            </w:r>
            <w:r w:rsidR="00DE3FB0" w:rsidRPr="00F0230E">
              <w:rPr>
                <w:rFonts w:asciiTheme="minorHAnsi" w:hAnsiTheme="minorHAnsi"/>
                <w:b w:val="0"/>
              </w:rPr>
              <w:t xml:space="preserve"> state uses</w:t>
            </w:r>
            <w:r w:rsidR="00E160BE" w:rsidRPr="00F0230E">
              <w:rPr>
                <w:rFonts w:asciiTheme="minorHAnsi" w:hAnsiTheme="minorHAnsi"/>
                <w:b w:val="0"/>
              </w:rPr>
              <w:t xml:space="preserve"> to ensure high</w:t>
            </w:r>
            <w:r w:rsidR="00307FA5" w:rsidRPr="00F0230E">
              <w:rPr>
                <w:rFonts w:asciiTheme="minorHAnsi" w:hAnsiTheme="minorHAnsi"/>
                <w:b w:val="0"/>
              </w:rPr>
              <w:t>-</w:t>
            </w:r>
            <w:r w:rsidR="00E160BE" w:rsidRPr="00F0230E">
              <w:rPr>
                <w:rFonts w:asciiTheme="minorHAnsi" w:hAnsiTheme="minorHAnsi"/>
                <w:b w:val="0"/>
              </w:rPr>
              <w:t>quality data.</w:t>
            </w:r>
            <w:r w:rsidR="00096FA2" w:rsidRPr="00F0230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2128C" w:rsidRPr="00652F78" w14:paraId="611DE169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2407FA66" w14:textId="046A7022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90D9B" w:rsidRPr="004976EC" w14:paraId="647E5A1A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25D687D" w14:textId="1C1BCB94" w:rsidR="00A90D9B" w:rsidRPr="00F0230E" w:rsidRDefault="00A90D9B" w:rsidP="00C43409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Data Analysis</w:t>
            </w:r>
            <w:r w:rsidR="00307FA5" w:rsidRPr="00F0230E">
              <w:rPr>
                <w:rFonts w:asciiTheme="minorHAnsi" w:hAnsiTheme="minorHAnsi"/>
              </w:rPr>
              <w:t>:</w:t>
            </w:r>
            <w:r w:rsidR="00B947CE" w:rsidRPr="00F0230E">
              <w:rPr>
                <w:rStyle w:val="FootnoteReference"/>
                <w:rFonts w:asciiTheme="minorHAnsi" w:hAnsiTheme="minorHAnsi"/>
              </w:rPr>
              <w:footnoteReference w:id="3"/>
            </w:r>
            <w:r w:rsidRPr="00F0230E">
              <w:rPr>
                <w:rFonts w:asciiTheme="minorHAnsi" w:hAnsiTheme="minorHAnsi"/>
                <w:b w:val="0"/>
              </w:rPr>
              <w:t xml:space="preserve"> </w:t>
            </w:r>
            <w:r w:rsidR="00C43409" w:rsidRPr="00F0230E">
              <w:rPr>
                <w:rFonts w:asciiTheme="minorHAnsi" w:hAnsiTheme="minorHAnsi"/>
                <w:b w:val="0"/>
              </w:rPr>
              <w:t>Describe the process for data analysis</w:t>
            </w:r>
            <w:r w:rsidR="00B947CE" w:rsidRPr="00F0230E">
              <w:rPr>
                <w:rFonts w:asciiTheme="minorHAnsi" w:hAnsiTheme="minorHAnsi"/>
                <w:b w:val="0"/>
              </w:rPr>
              <w:t>.</w:t>
            </w:r>
            <w:r w:rsidR="00C479D9" w:rsidRPr="00F0230E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652F78" w14:paraId="56B9E555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4316A4B7" w14:textId="7CBA032E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738C4F2E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49FDA73" w14:textId="73E05793" w:rsidR="00146E59" w:rsidRPr="00F0230E" w:rsidRDefault="00A90D9B" w:rsidP="00B542A0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Response to OS</w:t>
            </w:r>
            <w:r w:rsidR="00076F4C" w:rsidRPr="00F0230E">
              <w:rPr>
                <w:rFonts w:asciiTheme="minorHAnsi" w:hAnsiTheme="minorHAnsi"/>
              </w:rPr>
              <w:t>E</w:t>
            </w:r>
            <w:r w:rsidR="004A77E4" w:rsidRPr="00F0230E">
              <w:rPr>
                <w:rFonts w:asciiTheme="minorHAnsi" w:hAnsiTheme="minorHAnsi"/>
              </w:rPr>
              <w:t>P-</w:t>
            </w:r>
            <w:r w:rsidRPr="00F0230E">
              <w:rPr>
                <w:rFonts w:asciiTheme="minorHAnsi" w:hAnsiTheme="minorHAnsi"/>
              </w:rPr>
              <w:t>Required Actions: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</w:t>
            </w:r>
            <w:r w:rsidR="004A77E4" w:rsidRPr="00F0230E">
              <w:rPr>
                <w:rFonts w:asciiTheme="minorHAnsi" w:hAnsiTheme="minorHAnsi"/>
                <w:b w:val="0"/>
              </w:rPr>
              <w:t xml:space="preserve">Describe the procedures for reviewing and responding to </w:t>
            </w:r>
            <w:r w:rsidR="00307FA5" w:rsidRPr="00F0230E">
              <w:rPr>
                <w:rFonts w:asciiTheme="minorHAnsi" w:hAnsiTheme="minorHAnsi"/>
                <w:b w:val="0"/>
              </w:rPr>
              <w:t>Office of Special Education Programs (</w:t>
            </w:r>
            <w:r w:rsidR="004A77E4" w:rsidRPr="00F0230E">
              <w:rPr>
                <w:rFonts w:asciiTheme="minorHAnsi" w:hAnsiTheme="minorHAnsi"/>
                <w:b w:val="0"/>
              </w:rPr>
              <w:t>OSEP</w:t>
            </w:r>
            <w:r w:rsidR="00307FA5" w:rsidRPr="00F0230E">
              <w:rPr>
                <w:rFonts w:asciiTheme="minorHAnsi" w:hAnsiTheme="minorHAnsi"/>
                <w:b w:val="0"/>
              </w:rPr>
              <w:t>)</w:t>
            </w:r>
            <w:r w:rsidR="004A77E4" w:rsidRPr="00F0230E">
              <w:rPr>
                <w:rFonts w:asciiTheme="minorHAnsi" w:hAnsiTheme="minorHAnsi"/>
                <w:b w:val="0"/>
              </w:rPr>
              <w:t xml:space="preserve"> feedback.</w:t>
            </w:r>
            <w:r w:rsidR="006F5CC4" w:rsidRPr="00F0230E">
              <w:rPr>
                <w:rFonts w:asciiTheme="minorHAnsi" w:hAnsiTheme="minorHAnsi"/>
                <w:b w:val="0"/>
              </w:rPr>
              <w:t xml:space="preserve"> Following the release of the OSEP determination, indicate who re</w:t>
            </w:r>
            <w:r w:rsidR="00B542A0" w:rsidRPr="00F0230E">
              <w:rPr>
                <w:rFonts w:asciiTheme="minorHAnsi" w:hAnsiTheme="minorHAnsi"/>
                <w:b w:val="0"/>
              </w:rPr>
              <w:t xml:space="preserve">views OSEP feedback and how assigned staff </w:t>
            </w:r>
            <w:r w:rsidR="00DE3FB0" w:rsidRPr="00F0230E">
              <w:rPr>
                <w:rFonts w:asciiTheme="minorHAnsi" w:hAnsiTheme="minorHAnsi"/>
                <w:b w:val="0"/>
              </w:rPr>
              <w:t xml:space="preserve">make the </w:t>
            </w:r>
            <w:r w:rsidR="006F5CC4" w:rsidRPr="00F0230E">
              <w:rPr>
                <w:rFonts w:asciiTheme="minorHAnsi" w:hAnsiTheme="minorHAnsi"/>
                <w:b w:val="0"/>
              </w:rPr>
              <w:t>plan to address concerns and create a response.</w:t>
            </w:r>
          </w:p>
        </w:tc>
      </w:tr>
      <w:tr w:rsidR="00146E59" w:rsidRPr="00652F78" w14:paraId="268234F6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68C69D02" w14:textId="19EFBAC4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0526BADA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C369609" w14:textId="7E9DDAE1" w:rsidR="00E2128C" w:rsidRPr="00F0230E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 xml:space="preserve">Internal Approval Process: </w:t>
            </w:r>
            <w:r w:rsidRPr="00F0230E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F0230E">
              <w:rPr>
                <w:rFonts w:asciiTheme="minorHAnsi" w:hAnsiTheme="minorHAnsi"/>
                <w:b w:val="0"/>
              </w:rPr>
              <w:t>,</w:t>
            </w:r>
            <w:r w:rsidRPr="00F0230E">
              <w:rPr>
                <w:rFonts w:asciiTheme="minorHAnsi" w:hAnsiTheme="minorHAnsi"/>
                <w:b w:val="0"/>
              </w:rPr>
              <w:t xml:space="preserve"> who must sign off</w:t>
            </w:r>
            <w:r w:rsidR="00307FA5" w:rsidRPr="00F0230E">
              <w:rPr>
                <w:rFonts w:asciiTheme="minorHAnsi" w:hAnsiTheme="minorHAnsi"/>
                <w:b w:val="0"/>
              </w:rPr>
              <w:t xml:space="preserve">, </w:t>
            </w:r>
            <w:r w:rsidRPr="00F0230E">
              <w:rPr>
                <w:rFonts w:asciiTheme="minorHAnsi" w:hAnsiTheme="minorHAnsi"/>
                <w:b w:val="0"/>
              </w:rPr>
              <w:t>timelines).</w:t>
            </w:r>
            <w:r w:rsidRPr="00F0230E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52F78" w14:paraId="219FED84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9DB001B" w14:textId="36D09E85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8005BC" w14:paraId="71C825AC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9CEE8DC" w14:textId="6CBB7201" w:rsidR="00146E59" w:rsidRPr="00F0230E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F0230E">
              <w:rPr>
                <w:rFonts w:asciiTheme="minorHAnsi" w:hAnsiTheme="minorHAnsi"/>
              </w:rPr>
              <w:t>Submission:</w:t>
            </w:r>
            <w:r w:rsidR="00CB081A" w:rsidRPr="00F0230E">
              <w:rPr>
                <w:rFonts w:asciiTheme="minorHAnsi" w:hAnsiTheme="minorHAnsi"/>
                <w:b w:val="0"/>
              </w:rPr>
              <w:t xml:space="preserve"> 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F0230E">
              <w:rPr>
                <w:rFonts w:asciiTheme="minorHAnsi" w:hAnsiTheme="minorHAnsi"/>
                <w:b w:val="0"/>
              </w:rPr>
              <w:t>entering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F0230E">
              <w:rPr>
                <w:rFonts w:asciiTheme="minorHAnsi" w:hAnsiTheme="minorHAnsi"/>
                <w:b w:val="0"/>
              </w:rPr>
              <w:t>data and analyses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B947CE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307FA5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122901" w:rsidRPr="00F0230E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F0230E">
              <w:rPr>
                <w:rFonts w:asciiTheme="minorHAnsi" w:hAnsiTheme="minorHAnsi"/>
                <w:b w:val="0"/>
              </w:rPr>
              <w:t>.</w:t>
            </w:r>
            <w:r w:rsidR="008F542C" w:rsidRPr="00F0230E">
              <w:rPr>
                <w:rFonts w:asciiTheme="minorHAnsi" w:hAnsiTheme="minorHAnsi"/>
                <w:b w:val="0"/>
              </w:rPr>
              <w:t xml:space="preserve"> Include information about the person authorized to certify the final report.</w:t>
            </w:r>
          </w:p>
        </w:tc>
      </w:tr>
      <w:tr w:rsidR="00146E59" w:rsidRPr="00652F78" w14:paraId="6C2E82AB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65A2AF3" w14:textId="737E7094" w:rsidR="002A3E93" w:rsidRPr="00F0230E" w:rsidRDefault="00FE7726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F0230E">
              <w:rPr>
                <w:rFonts w:cs="Arial"/>
                <w:color w:val="000000" w:themeColor="text1"/>
                <w:szCs w:val="24"/>
              </w:rPr>
              <w:t>Prefilled with 618 data by GRADS360</w:t>
            </w:r>
            <w:r w:rsidR="00122901" w:rsidRPr="00F0230E">
              <w:rPr>
                <w:rFonts w:cs="Arial"/>
                <w:color w:val="000000" w:themeColor="text1"/>
                <w:szCs w:val="24"/>
              </w:rPr>
              <w:t>°</w:t>
            </w:r>
            <w:r w:rsidRPr="00F0230E">
              <w:rPr>
                <w:rFonts w:cs="Arial"/>
                <w:color w:val="000000" w:themeColor="text1"/>
                <w:szCs w:val="24"/>
              </w:rPr>
              <w:t xml:space="preserve"> system.</w:t>
            </w:r>
          </w:p>
        </w:tc>
      </w:tr>
      <w:tr w:rsidR="00F26028" w:rsidRPr="004976EC" w14:paraId="751AF975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4F57C485" w14:textId="40632A4F" w:rsidR="00F26028" w:rsidRPr="00F0230E" w:rsidRDefault="00F26028" w:rsidP="00800161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Clarification</w:t>
            </w:r>
            <w:r w:rsidR="00307FA5" w:rsidRPr="00F0230E">
              <w:rPr>
                <w:rFonts w:asciiTheme="minorHAnsi" w:hAnsiTheme="minorHAnsi"/>
              </w:rPr>
              <w:t>:</w:t>
            </w:r>
            <w:r w:rsidR="0025064E" w:rsidRPr="00F0230E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 w:rsidRPr="00F0230E">
              <w:rPr>
                <w:rFonts w:asciiTheme="minorHAnsi" w:hAnsiTheme="minorHAnsi"/>
              </w:rPr>
              <w:t xml:space="preserve"> </w:t>
            </w:r>
            <w:r w:rsidR="00764C6F" w:rsidRPr="00F0230E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652F78" w14:paraId="72F5E0D2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1C1F2C5E" w14:textId="0B621953" w:rsidR="00F26028" w:rsidRPr="00F0230E" w:rsidRDefault="00F26028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7BEBFDE2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52F78" w14:paraId="35D5D329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777B134" w14:textId="0BD6DD4D" w:rsidR="002A3E93" w:rsidRPr="00652F78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6712995E" w14:textId="2C3B7D46" w:rsidR="00146E59" w:rsidRPr="004976EC" w:rsidRDefault="004A77E4" w:rsidP="00764C6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="00764C6F">
              <w:rPr>
                <w:rFonts w:asciiTheme="minorHAnsi" w:hAnsiTheme="minorHAnsi"/>
                <w:b w:val="0"/>
              </w:rPr>
              <w:t xml:space="preserve"> where your</w:t>
            </w:r>
            <w:r w:rsidRPr="00850147">
              <w:rPr>
                <w:rFonts w:asciiTheme="minorHAnsi" w:hAnsiTheme="minorHAnsi"/>
                <w:b w:val="0"/>
              </w:rPr>
              <w:t xml:space="preserve"> </w:t>
            </w:r>
            <w:r w:rsidR="00DE3FB0">
              <w:rPr>
                <w:rFonts w:asciiTheme="minorHAnsi" w:hAnsiTheme="minorHAnsi"/>
                <w:b w:val="0"/>
              </w:rPr>
              <w:t xml:space="preserve">state posts the </w:t>
            </w:r>
            <w:r w:rsidR="00C00A50">
              <w:rPr>
                <w:rFonts w:asciiTheme="minorHAnsi" w:hAnsiTheme="minorHAnsi"/>
                <w:b w:val="0"/>
              </w:rPr>
              <w:t>state education agency (</w:t>
            </w:r>
            <w:r>
              <w:rPr>
                <w:rFonts w:asciiTheme="minorHAnsi" w:hAnsiTheme="minorHAnsi"/>
                <w:b w:val="0"/>
              </w:rPr>
              <w:t>SEA</w:t>
            </w:r>
            <w:r w:rsidR="00C00A50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 xml:space="preserve"> and LEA SPP/APR data.</w:t>
            </w:r>
          </w:p>
        </w:tc>
      </w:tr>
      <w:tr w:rsidR="00E2128C" w:rsidRPr="004976EC" w14:paraId="34C9A6D1" w14:textId="77777777" w:rsidTr="00C44015">
        <w:trPr>
          <w:cantSplit/>
          <w:trHeight w:val="20"/>
        </w:trPr>
        <w:tc>
          <w:tcPr>
            <w:tcW w:w="10310" w:type="dxa"/>
          </w:tcPr>
          <w:p w14:paraId="47B63986" w14:textId="6DBA983B" w:rsidR="002A3E93" w:rsidRPr="004976EC" w:rsidRDefault="002A3E93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400CF6E7" w14:textId="5767B23D" w:rsidR="00F30485" w:rsidRPr="004976EC" w:rsidRDefault="00F30485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652F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96EFD" w16cid:durableId="1D258259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B464" w14:textId="77777777" w:rsidR="00023A9A" w:rsidRDefault="00023A9A">
      <w:pPr>
        <w:spacing w:line="240" w:lineRule="auto"/>
      </w:pPr>
      <w:r>
        <w:separator/>
      </w:r>
    </w:p>
  </w:endnote>
  <w:endnote w:type="continuationSeparator" w:id="0">
    <w:p w14:paraId="279C226E" w14:textId="77777777" w:rsidR="00023A9A" w:rsidRDefault="00023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9A62" w14:textId="77777777" w:rsidR="00F82F69" w:rsidRDefault="00F8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2505" w14:textId="363826B1" w:rsidR="00652F78" w:rsidRPr="001A2E0C" w:rsidRDefault="00023A9A" w:rsidP="00652F7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52F78" w:rsidRPr="001A2E0C">
        <w:rPr>
          <w:color w:val="4D4D4F"/>
        </w:rPr>
        <w:t>www.ideadata.org</w:t>
      </w:r>
    </w:hyperlink>
    <w:r w:rsidR="00652F78" w:rsidRPr="001A2E0C">
      <w:rPr>
        <w:color w:val="4D4D4F"/>
      </w:rPr>
      <w:tab/>
    </w:r>
    <w:r w:rsidR="00652F78" w:rsidRPr="001A2E0C">
      <w:rPr>
        <w:color w:val="4D4D4F"/>
      </w:rPr>
      <w:fldChar w:fldCharType="begin"/>
    </w:r>
    <w:r w:rsidR="00652F78" w:rsidRPr="001A2E0C">
      <w:rPr>
        <w:color w:val="4D4D4F"/>
      </w:rPr>
      <w:instrText xml:space="preserve"> PAGE   \* MERGEFORMAT </w:instrText>
    </w:r>
    <w:r w:rsidR="00652F78" w:rsidRPr="001A2E0C">
      <w:rPr>
        <w:color w:val="4D4D4F"/>
      </w:rPr>
      <w:fldChar w:fldCharType="separate"/>
    </w:r>
    <w:r w:rsidR="003B5814">
      <w:rPr>
        <w:noProof/>
        <w:color w:val="4D4D4F"/>
      </w:rPr>
      <w:t>4</w:t>
    </w:r>
    <w:r w:rsidR="00652F78" w:rsidRPr="001A2E0C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7988" w14:textId="75A969A2" w:rsidR="00652F78" w:rsidRPr="001A2E0C" w:rsidRDefault="00023A9A" w:rsidP="00652F7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52F78" w:rsidRPr="001A2E0C">
        <w:rPr>
          <w:color w:val="4D4D4F"/>
        </w:rPr>
        <w:t>www.ideadata.org</w:t>
      </w:r>
    </w:hyperlink>
    <w:r w:rsidR="00652F78" w:rsidRPr="001A2E0C">
      <w:rPr>
        <w:color w:val="4D4D4F"/>
      </w:rPr>
      <w:tab/>
    </w:r>
    <w:r w:rsidR="00652F78" w:rsidRPr="001A2E0C">
      <w:rPr>
        <w:color w:val="4D4D4F"/>
      </w:rPr>
      <w:fldChar w:fldCharType="begin"/>
    </w:r>
    <w:r w:rsidR="00652F78" w:rsidRPr="001A2E0C">
      <w:rPr>
        <w:color w:val="4D4D4F"/>
      </w:rPr>
      <w:instrText xml:space="preserve"> PAGE   \* MERGEFORMAT </w:instrText>
    </w:r>
    <w:r w:rsidR="00652F78" w:rsidRPr="001A2E0C">
      <w:rPr>
        <w:color w:val="4D4D4F"/>
      </w:rPr>
      <w:fldChar w:fldCharType="separate"/>
    </w:r>
    <w:r w:rsidR="003B5814">
      <w:rPr>
        <w:noProof/>
        <w:color w:val="4D4D4F"/>
      </w:rPr>
      <w:t>1</w:t>
    </w:r>
    <w:r w:rsidR="00652F78" w:rsidRPr="001A2E0C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53F4" w14:textId="77777777" w:rsidR="00023A9A" w:rsidRPr="001F1397" w:rsidRDefault="00023A9A" w:rsidP="00652F78">
      <w:pPr>
        <w:pStyle w:val="Footer"/>
        <w:pBdr>
          <w:bottom w:val="single" w:sz="4" w:space="1" w:color="auto"/>
        </w:pBdr>
      </w:pPr>
    </w:p>
  </w:footnote>
  <w:footnote w:type="continuationSeparator" w:id="0">
    <w:p w14:paraId="3D5E67DF" w14:textId="77777777" w:rsidR="00023A9A" w:rsidRPr="006328B1" w:rsidRDefault="00023A9A" w:rsidP="008E637E">
      <w:pPr>
        <w:pStyle w:val="Footer"/>
      </w:pPr>
    </w:p>
  </w:footnote>
  <w:footnote w:type="continuationNotice" w:id="1">
    <w:p w14:paraId="13C529CB" w14:textId="77777777" w:rsidR="00023A9A" w:rsidRPr="006328B1" w:rsidRDefault="00023A9A" w:rsidP="008E637E">
      <w:pPr>
        <w:pStyle w:val="Footer"/>
      </w:pPr>
    </w:p>
  </w:footnote>
  <w:footnote w:id="2">
    <w:p w14:paraId="66834B73" w14:textId="31C9DC68" w:rsidR="00224864" w:rsidRDefault="00224864" w:rsidP="00652F7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41116C" w:rsidRPr="002B5526">
        <w:rPr>
          <w:b/>
        </w:rPr>
        <w:t>Measurement:</w:t>
      </w:r>
      <w:r w:rsidR="0041116C">
        <w:t xml:space="preserve"> </w:t>
      </w:r>
      <w:r>
        <w:t>Part B</w:t>
      </w:r>
      <w:r w:rsidRPr="00900525">
        <w:t xml:space="preserve"> </w:t>
      </w:r>
      <w:r w:rsidR="009B3567">
        <w:t xml:space="preserve">Indicator </w:t>
      </w:r>
      <w:r w:rsidRPr="00900525">
        <w:t>Meas</w:t>
      </w:r>
      <w:r w:rsidR="00AC3B12">
        <w:t>urement Table 2018, for FFY 2016</w:t>
      </w:r>
      <w:r w:rsidRPr="00900525">
        <w:t xml:space="preserve"> submission</w:t>
      </w:r>
      <w:r w:rsidR="0041116C">
        <w:t>.</w:t>
      </w:r>
    </w:p>
  </w:footnote>
  <w:footnote w:id="3">
    <w:p w14:paraId="74FE941F" w14:textId="5D4AE7E1" w:rsidR="00224864" w:rsidRPr="00692770" w:rsidRDefault="00224864" w:rsidP="00B947CE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2B5526">
        <w:rPr>
          <w:rStyle w:val="FootnoteReference"/>
          <w:b w:val="0"/>
          <w:color w:val="000000" w:themeColor="text1"/>
          <w:sz w:val="18"/>
          <w:szCs w:val="18"/>
        </w:rPr>
        <w:footnoteRef/>
      </w:r>
      <w:r w:rsidRPr="002B5526">
        <w:rPr>
          <w:b w:val="0"/>
          <w:color w:val="000000" w:themeColor="text1"/>
          <w:sz w:val="18"/>
          <w:szCs w:val="18"/>
        </w:rPr>
        <w:t xml:space="preserve"> </w:t>
      </w:r>
      <w:r w:rsidRPr="00692770">
        <w:rPr>
          <w:rFonts w:asciiTheme="minorHAnsi" w:hAnsiTheme="minorHAnsi"/>
          <w:color w:val="auto"/>
          <w:sz w:val="18"/>
          <w:szCs w:val="18"/>
        </w:rPr>
        <w:t>Data Analysis</w:t>
      </w:r>
      <w:r w:rsidR="00307FA5">
        <w:rPr>
          <w:rFonts w:asciiTheme="minorHAnsi" w:hAnsiTheme="minorHAnsi"/>
          <w:color w:val="auto"/>
          <w:sz w:val="18"/>
          <w:szCs w:val="18"/>
        </w:rPr>
        <w:t>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="00307FA5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data year to year</w:t>
      </w:r>
      <w:r w:rsidR="00307FA5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4A77E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B542A0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not met, </w:t>
      </w:r>
    </w:p>
    <w:p w14:paraId="0577B59B" w14:textId="3E6FBA8C" w:rsidR="00224864" w:rsidRDefault="00307FA5" w:rsidP="002B5526">
      <w:pPr>
        <w:pStyle w:val="FootnoteText"/>
        <w:ind w:left="0" w:firstLine="0"/>
      </w:pPr>
      <w:proofErr w:type="gramStart"/>
      <w:r>
        <w:t>and</w:t>
      </w:r>
      <w:proofErr w:type="gramEnd"/>
      <w:r>
        <w:t xml:space="preserve"> </w:t>
      </w:r>
      <w:r w:rsidR="00224864">
        <w:t>slippage.</w:t>
      </w:r>
    </w:p>
  </w:footnote>
  <w:footnote w:id="4">
    <w:p w14:paraId="72E544F3" w14:textId="41FAC976" w:rsidR="00224864" w:rsidRDefault="00224864" w:rsidP="00652F7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E160BE" w:rsidRPr="00E160BE">
        <w:rPr>
          <w:b/>
        </w:rPr>
        <w:t>Clarification</w:t>
      </w:r>
      <w:r w:rsidR="00307FA5">
        <w:rPr>
          <w:b/>
        </w:rPr>
        <w:t>:</w:t>
      </w:r>
      <w:r w:rsidR="00E160BE">
        <w:t xml:space="preserve"> </w:t>
      </w:r>
      <w:r w:rsidR="00800161">
        <w:t>OSEP generally send</w:t>
      </w:r>
      <w:r w:rsidR="00054FF0">
        <w:t>s</w:t>
      </w:r>
      <w:r w:rsidR="00800161">
        <w:t xml:space="preserve"> c</w:t>
      </w:r>
      <w:r>
        <w:t xml:space="preserve">larification requests to states about 60 days </w:t>
      </w:r>
      <w:proofErr w:type="spellStart"/>
      <w:r>
        <w:t>postsubmission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0AE" w14:textId="77777777" w:rsidR="00F82F69" w:rsidRDefault="00F8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BCCD" w14:textId="0A8307CA" w:rsidR="00652F78" w:rsidRPr="001A2E0C" w:rsidRDefault="00652F78" w:rsidP="00C44015">
    <w:pPr>
      <w:pStyle w:val="Header"/>
      <w:pBdr>
        <w:bottom w:val="none" w:sz="0" w:space="0" w:color="auto"/>
      </w:pBdr>
      <w:spacing w:after="480"/>
      <w:rPr>
        <w:color w:val="4D4D4F"/>
      </w:rPr>
    </w:pPr>
    <w:r w:rsidRPr="001A2E0C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2921CEF4" wp14:editId="4523C82B">
          <wp:simplePos x="0" y="0"/>
          <wp:positionH relativeFrom="margin">
            <wp:posOffset>5065395</wp:posOffset>
          </wp:positionH>
          <wp:positionV relativeFrom="margin">
            <wp:posOffset>-955675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22A" w:rsidRPr="001A2E0C">
      <w:rPr>
        <w:color w:val="4D4D4F"/>
      </w:rPr>
      <w:t>Part B IDEA</w:t>
    </w:r>
    <w:r w:rsidRPr="001A2E0C">
      <w:rPr>
        <w:color w:val="4D4D4F"/>
      </w:rPr>
      <w:t xml:space="preserve"> Data Processes Toolkit</w:t>
    </w:r>
  </w:p>
  <w:p w14:paraId="19DF95ED" w14:textId="0F847DBD" w:rsidR="00C44015" w:rsidRPr="00A30926" w:rsidRDefault="00C44015" w:rsidP="00C44015">
    <w:pPr>
      <w:pStyle w:val="Header"/>
      <w:pBdr>
        <w:bottom w:val="single" w:sz="18" w:space="8" w:color="065D8B"/>
      </w:pBdr>
      <w:spacing w:after="240" w:line="240" w:lineRule="atLeast"/>
      <w:jc w:val="center"/>
      <w:rPr>
        <w:color w:val="065D8B"/>
        <w:sz w:val="32"/>
        <w:szCs w:val="32"/>
      </w:rPr>
    </w:pPr>
    <w:r w:rsidRPr="00652F78">
      <w:rPr>
        <w:color w:val="065D8B"/>
        <w:sz w:val="32"/>
        <w:szCs w:val="32"/>
      </w:rPr>
      <w:t>Data Collection Protocol—Indicator 2</w:t>
    </w:r>
    <w:r w:rsidR="001D3E1C">
      <w:rPr>
        <w:color w:val="065D8B"/>
        <w:sz w:val="32"/>
        <w:szCs w:val="32"/>
      </w:rPr>
      <w:t>. Drop 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566E0B2D" w:rsidR="00224864" w:rsidRDefault="003B5814" w:rsidP="00652F78">
    <w:pPr>
      <w:pStyle w:val="C2-CtrSglSp"/>
      <w:spacing w:after="240"/>
      <w:ind w:left="-187"/>
    </w:pPr>
    <w:bookmarkStart w:id="0" w:name="_GoBack"/>
    <w:r>
      <w:rPr>
        <w:noProof/>
      </w:rPr>
      <w:drawing>
        <wp:inline distT="0" distB="0" distL="0" distR="0" wp14:anchorId="56AFA08D" wp14:editId="3CF9C14D">
          <wp:extent cx="6400800" cy="1513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5BB5"/>
    <w:rsid w:val="000071E1"/>
    <w:rsid w:val="00007D18"/>
    <w:rsid w:val="00010091"/>
    <w:rsid w:val="000136A4"/>
    <w:rsid w:val="000160CA"/>
    <w:rsid w:val="00016C62"/>
    <w:rsid w:val="00017379"/>
    <w:rsid w:val="00017978"/>
    <w:rsid w:val="000201B3"/>
    <w:rsid w:val="0002024B"/>
    <w:rsid w:val="00020CB8"/>
    <w:rsid w:val="000210F1"/>
    <w:rsid w:val="0002122C"/>
    <w:rsid w:val="00023A9A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4FF0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0583"/>
    <w:rsid w:val="000A1435"/>
    <w:rsid w:val="000A25DF"/>
    <w:rsid w:val="000A5F35"/>
    <w:rsid w:val="000B3289"/>
    <w:rsid w:val="000B4274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2901"/>
    <w:rsid w:val="001245D3"/>
    <w:rsid w:val="00126E95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2E0C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2821"/>
    <w:rsid w:val="001D3E1C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3F8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3E93"/>
    <w:rsid w:val="002A5CCA"/>
    <w:rsid w:val="002A6821"/>
    <w:rsid w:val="002B1B0B"/>
    <w:rsid w:val="002B4984"/>
    <w:rsid w:val="002B5526"/>
    <w:rsid w:val="002C1259"/>
    <w:rsid w:val="002C3249"/>
    <w:rsid w:val="002C5605"/>
    <w:rsid w:val="002D1420"/>
    <w:rsid w:val="002D26FE"/>
    <w:rsid w:val="002D3E8C"/>
    <w:rsid w:val="002D4E7F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07FA5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AC3"/>
    <w:rsid w:val="00367B01"/>
    <w:rsid w:val="00370B5A"/>
    <w:rsid w:val="00371A77"/>
    <w:rsid w:val="003761FE"/>
    <w:rsid w:val="00380169"/>
    <w:rsid w:val="003812C1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05B6"/>
    <w:rsid w:val="003B1DC7"/>
    <w:rsid w:val="003B3401"/>
    <w:rsid w:val="003B5814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16C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58C5"/>
    <w:rsid w:val="00446EC8"/>
    <w:rsid w:val="00450747"/>
    <w:rsid w:val="00453F96"/>
    <w:rsid w:val="00454074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5FC9"/>
    <w:rsid w:val="0048700B"/>
    <w:rsid w:val="00493E51"/>
    <w:rsid w:val="004976EC"/>
    <w:rsid w:val="004A0E76"/>
    <w:rsid w:val="004A4A73"/>
    <w:rsid w:val="004A58FC"/>
    <w:rsid w:val="004A77E4"/>
    <w:rsid w:val="004B045B"/>
    <w:rsid w:val="004B2B27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C7591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2F78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181D"/>
    <w:rsid w:val="00682806"/>
    <w:rsid w:val="0068290A"/>
    <w:rsid w:val="00682C93"/>
    <w:rsid w:val="00683296"/>
    <w:rsid w:val="0068381B"/>
    <w:rsid w:val="00683820"/>
    <w:rsid w:val="006849A8"/>
    <w:rsid w:val="006862D3"/>
    <w:rsid w:val="006864B8"/>
    <w:rsid w:val="006901D7"/>
    <w:rsid w:val="00692A61"/>
    <w:rsid w:val="00692C4C"/>
    <w:rsid w:val="00693779"/>
    <w:rsid w:val="0069381D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5084"/>
    <w:rsid w:val="006C5E4B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1B01"/>
    <w:rsid w:val="006F44AE"/>
    <w:rsid w:val="006F5C27"/>
    <w:rsid w:val="006F5CC4"/>
    <w:rsid w:val="0070039E"/>
    <w:rsid w:val="007014BF"/>
    <w:rsid w:val="00702A0B"/>
    <w:rsid w:val="007035CD"/>
    <w:rsid w:val="007050FC"/>
    <w:rsid w:val="00705A09"/>
    <w:rsid w:val="00706B06"/>
    <w:rsid w:val="00707A44"/>
    <w:rsid w:val="0071293E"/>
    <w:rsid w:val="00721588"/>
    <w:rsid w:val="0072285E"/>
    <w:rsid w:val="007229A7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4C6F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4316"/>
    <w:rsid w:val="007D58D7"/>
    <w:rsid w:val="007E2327"/>
    <w:rsid w:val="007E401F"/>
    <w:rsid w:val="007E4B3E"/>
    <w:rsid w:val="007F32E5"/>
    <w:rsid w:val="007F34EF"/>
    <w:rsid w:val="00800161"/>
    <w:rsid w:val="008005BC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4CA2"/>
    <w:rsid w:val="00846CEF"/>
    <w:rsid w:val="00847519"/>
    <w:rsid w:val="00847618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253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31DE"/>
    <w:rsid w:val="009531DF"/>
    <w:rsid w:val="0095362B"/>
    <w:rsid w:val="0095517C"/>
    <w:rsid w:val="0095765A"/>
    <w:rsid w:val="00957F78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3567"/>
    <w:rsid w:val="009B6D7E"/>
    <w:rsid w:val="009C34B0"/>
    <w:rsid w:val="009C3A30"/>
    <w:rsid w:val="009C4A8A"/>
    <w:rsid w:val="009C7BA4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1894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36B3"/>
    <w:rsid w:val="00AB4E6A"/>
    <w:rsid w:val="00AB4EE8"/>
    <w:rsid w:val="00AB5567"/>
    <w:rsid w:val="00AB603E"/>
    <w:rsid w:val="00AB60EF"/>
    <w:rsid w:val="00AB7EB6"/>
    <w:rsid w:val="00AC3B12"/>
    <w:rsid w:val="00AC3C35"/>
    <w:rsid w:val="00AC598C"/>
    <w:rsid w:val="00AC5E9E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5525"/>
    <w:rsid w:val="00B46658"/>
    <w:rsid w:val="00B46AD5"/>
    <w:rsid w:val="00B47354"/>
    <w:rsid w:val="00B513C9"/>
    <w:rsid w:val="00B542A0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48F5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0A50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015"/>
    <w:rsid w:val="00C44186"/>
    <w:rsid w:val="00C4638A"/>
    <w:rsid w:val="00C4710C"/>
    <w:rsid w:val="00C479D9"/>
    <w:rsid w:val="00C50612"/>
    <w:rsid w:val="00C61ED2"/>
    <w:rsid w:val="00C63CD4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5CC5"/>
    <w:rsid w:val="00CE6820"/>
    <w:rsid w:val="00CF0615"/>
    <w:rsid w:val="00CF1DD4"/>
    <w:rsid w:val="00CF2F50"/>
    <w:rsid w:val="00CF5FFB"/>
    <w:rsid w:val="00CF7BE2"/>
    <w:rsid w:val="00CF7E12"/>
    <w:rsid w:val="00D00D17"/>
    <w:rsid w:val="00D026CE"/>
    <w:rsid w:val="00D0379E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302BC"/>
    <w:rsid w:val="00D30BA3"/>
    <w:rsid w:val="00D334F4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1A2E"/>
    <w:rsid w:val="00D62456"/>
    <w:rsid w:val="00D63563"/>
    <w:rsid w:val="00D6361F"/>
    <w:rsid w:val="00D676DE"/>
    <w:rsid w:val="00D726BC"/>
    <w:rsid w:val="00D7480B"/>
    <w:rsid w:val="00D74E38"/>
    <w:rsid w:val="00D7562A"/>
    <w:rsid w:val="00D757F4"/>
    <w:rsid w:val="00D809E0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177D"/>
    <w:rsid w:val="00DD4E06"/>
    <w:rsid w:val="00DD58F7"/>
    <w:rsid w:val="00DD5D98"/>
    <w:rsid w:val="00DD63F5"/>
    <w:rsid w:val="00DE05D1"/>
    <w:rsid w:val="00DE17C5"/>
    <w:rsid w:val="00DE2C07"/>
    <w:rsid w:val="00DE387D"/>
    <w:rsid w:val="00DE3FB0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1C3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2F1E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230E"/>
    <w:rsid w:val="00F0506D"/>
    <w:rsid w:val="00F0766C"/>
    <w:rsid w:val="00F12E4E"/>
    <w:rsid w:val="00F15BA5"/>
    <w:rsid w:val="00F213B6"/>
    <w:rsid w:val="00F21C6A"/>
    <w:rsid w:val="00F26028"/>
    <w:rsid w:val="00F2722A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2F69"/>
    <w:rsid w:val="00F85130"/>
    <w:rsid w:val="00F8758A"/>
    <w:rsid w:val="00F87CFE"/>
    <w:rsid w:val="00F94015"/>
    <w:rsid w:val="00F965BC"/>
    <w:rsid w:val="00FA1538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0C8C"/>
    <w:rsid w:val="00FD1965"/>
    <w:rsid w:val="00FD1D0E"/>
    <w:rsid w:val="00FD4BF9"/>
    <w:rsid w:val="00FD7E6B"/>
    <w:rsid w:val="00FE4FF8"/>
    <w:rsid w:val="00FE5E10"/>
    <w:rsid w:val="00FE64E7"/>
    <w:rsid w:val="00FE7726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67C1D128-2EFD-445F-B67D-0B4A452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2E75-B760-4D29-AC4D-2AD70ED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Vanessa Ofori</cp:lastModifiedBy>
  <cp:revision>2</cp:revision>
  <cp:lastPrinted>2015-11-12T14:28:00Z</cp:lastPrinted>
  <dcterms:created xsi:type="dcterms:W3CDTF">2018-11-01T15:05:00Z</dcterms:created>
  <dcterms:modified xsi:type="dcterms:W3CDTF">2018-11-01T15:05:00Z</dcterms:modified>
</cp:coreProperties>
</file>