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EAB2" w14:textId="1A1D90FB" w:rsidR="006A7F38" w:rsidRPr="006A7F38" w:rsidRDefault="006A7F38" w:rsidP="006A7F38">
      <w:pPr>
        <w:pStyle w:val="Heading1"/>
        <w:keepNext w:val="0"/>
        <w:pBdr>
          <w:bottom w:val="single" w:sz="48" w:space="4" w:color="105D89"/>
        </w:pBdr>
        <w:tabs>
          <w:tab w:val="clear" w:pos="1152"/>
        </w:tabs>
        <w:kinsoku w:val="0"/>
        <w:overflowPunct w:val="0"/>
        <w:autoSpaceDE w:val="0"/>
        <w:autoSpaceDN w:val="0"/>
        <w:adjustRightInd w:val="0"/>
        <w:spacing w:after="400" w:line="480" w:lineRule="exact"/>
        <w:ind w:left="14"/>
        <w:jc w:val="left"/>
        <w:rPr>
          <w:rFonts w:asciiTheme="minorHAnsi" w:eastAsia="Calibri" w:hAnsiTheme="minorHAnsi" w:cs="Myriad Pro"/>
          <w:bCs/>
          <w:color w:val="118577"/>
          <w:spacing w:val="-1"/>
          <w:w w:val="110"/>
          <w:szCs w:val="40"/>
        </w:rPr>
      </w:pPr>
      <w:r w:rsidRPr="006A7F38">
        <w:rPr>
          <w:rFonts w:asciiTheme="minorHAnsi" w:eastAsia="Calibri" w:hAnsiTheme="minorHAnsi" w:cs="Myriad Pro"/>
          <w:bCs/>
          <w:color w:val="118577"/>
          <w:spacing w:val="-1"/>
          <w:w w:val="110"/>
          <w:szCs w:val="40"/>
        </w:rPr>
        <w:t>Comprehensive IDC</w:t>
      </w:r>
      <w:r w:rsidR="00375847">
        <w:rPr>
          <w:rFonts w:asciiTheme="minorHAnsi" w:eastAsia="Calibri" w:hAnsiTheme="minorHAnsi" w:cs="Myriad Pro"/>
          <w:bCs/>
          <w:color w:val="118577"/>
          <w:spacing w:val="-1"/>
          <w:w w:val="110"/>
          <w:szCs w:val="40"/>
        </w:rPr>
        <w:t xml:space="preserve"> Part C</w:t>
      </w:r>
      <w:r w:rsidR="00C8771A">
        <w:rPr>
          <w:rFonts w:asciiTheme="minorHAnsi" w:eastAsia="Calibri" w:hAnsiTheme="minorHAnsi" w:cs="Myriad Pro"/>
          <w:bCs/>
          <w:color w:val="118577"/>
          <w:spacing w:val="-1"/>
          <w:w w:val="110"/>
          <w:szCs w:val="40"/>
        </w:rPr>
        <w:t xml:space="preserve"> </w:t>
      </w:r>
      <w:r w:rsidRPr="006A7F38">
        <w:rPr>
          <w:rFonts w:asciiTheme="minorHAnsi" w:eastAsia="Calibri" w:hAnsiTheme="minorHAnsi" w:cs="Myriad Pro"/>
          <w:bCs/>
          <w:color w:val="118577"/>
          <w:spacing w:val="-1"/>
          <w:w w:val="110"/>
          <w:szCs w:val="40"/>
        </w:rPr>
        <w:t>Tool &amp; Product List</w:t>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6"/>
        <w:gridCol w:w="6854"/>
      </w:tblGrid>
      <w:tr w:rsidR="006A7F38" w:rsidRPr="006A7F38" w14:paraId="73413F5D" w14:textId="77777777" w:rsidTr="00E05D02">
        <w:trPr>
          <w:trHeight w:val="432"/>
          <w:tblHeader/>
        </w:trPr>
        <w:tc>
          <w:tcPr>
            <w:tcW w:w="2506" w:type="dxa"/>
            <w:shd w:val="clear" w:color="auto" w:fill="118577"/>
            <w:vAlign w:val="center"/>
            <w:hideMark/>
          </w:tcPr>
          <w:p w14:paraId="1F62752D" w14:textId="77777777" w:rsidR="006A7F38" w:rsidRPr="006A7F38" w:rsidRDefault="006A7F38" w:rsidP="00127A40">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Tool/Product</w:t>
            </w:r>
          </w:p>
        </w:tc>
        <w:tc>
          <w:tcPr>
            <w:tcW w:w="6854" w:type="dxa"/>
            <w:shd w:val="clear" w:color="auto" w:fill="118577"/>
            <w:vAlign w:val="center"/>
            <w:hideMark/>
          </w:tcPr>
          <w:p w14:paraId="1F35EFE7" w14:textId="77777777" w:rsidR="006A7F38" w:rsidRPr="006A7F38" w:rsidRDefault="006A7F38" w:rsidP="00127A40">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Description</w:t>
            </w:r>
          </w:p>
        </w:tc>
      </w:tr>
      <w:tr w:rsidR="000321D2" w:rsidRPr="000321D2" w14:paraId="5977624F" w14:textId="77777777" w:rsidTr="00E05D02">
        <w:trPr>
          <w:trHeight w:val="288"/>
        </w:trPr>
        <w:tc>
          <w:tcPr>
            <w:tcW w:w="2506" w:type="dxa"/>
            <w:shd w:val="clear" w:color="auto" w:fill="1CDEC7"/>
            <w:noWrap/>
            <w:vAlign w:val="center"/>
          </w:tcPr>
          <w:p w14:paraId="2928D9CF" w14:textId="77777777" w:rsidR="00C03956" w:rsidRPr="000321D2" w:rsidRDefault="001425B5"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Analysis</w:t>
            </w:r>
          </w:p>
        </w:tc>
        <w:tc>
          <w:tcPr>
            <w:tcW w:w="6854" w:type="dxa"/>
            <w:shd w:val="clear" w:color="auto" w:fill="1CDEC7"/>
            <w:vAlign w:val="center"/>
          </w:tcPr>
          <w:p w14:paraId="1F3899F7" w14:textId="77777777" w:rsidR="00C03956" w:rsidRPr="000321D2" w:rsidRDefault="00C03956" w:rsidP="00127A40">
            <w:pPr>
              <w:pStyle w:val="SL-FlLftSgl"/>
              <w:rPr>
                <w:rFonts w:asciiTheme="minorHAnsi" w:hAnsiTheme="minorHAnsi" w:cstheme="minorHAnsi"/>
                <w:b/>
                <w:color w:val="000000" w:themeColor="text1"/>
                <w:sz w:val="22"/>
                <w:szCs w:val="22"/>
              </w:rPr>
            </w:pPr>
          </w:p>
        </w:tc>
      </w:tr>
      <w:tr w:rsidR="00463914" w:rsidRPr="00C03956" w14:paraId="61AA8C73" w14:textId="77777777" w:rsidTr="00E05D02">
        <w:trPr>
          <w:trHeight w:val="20"/>
        </w:trPr>
        <w:tc>
          <w:tcPr>
            <w:tcW w:w="2506" w:type="dxa"/>
            <w:shd w:val="clear" w:color="auto" w:fill="auto"/>
            <w:noWrap/>
            <w:hideMark/>
          </w:tcPr>
          <w:p w14:paraId="540358C6" w14:textId="77777777" w:rsidR="00463914" w:rsidRPr="004402B2" w:rsidRDefault="000321D2" w:rsidP="00127A40">
            <w:pPr>
              <w:pStyle w:val="SL-FlLftSgl"/>
              <w:rPr>
                <w:rFonts w:asciiTheme="minorHAnsi" w:hAnsiTheme="minorHAnsi" w:cstheme="minorHAnsi"/>
                <w:i/>
                <w:sz w:val="20"/>
                <w:u w:val="single"/>
              </w:rPr>
            </w:pPr>
            <w:hyperlink r:id="rId8" w:history="1">
              <w:r w:rsidR="00463914" w:rsidRPr="004402B2">
                <w:rPr>
                  <w:rStyle w:val="Hyperlink"/>
                  <w:rFonts w:asciiTheme="minorHAnsi" w:hAnsiTheme="minorHAnsi" w:cstheme="minorHAnsi"/>
                  <w:i/>
                  <w:color w:val="auto"/>
                  <w:sz w:val="20"/>
                </w:rPr>
                <w:t>Data Meeting Protocol</w:t>
              </w:r>
            </w:hyperlink>
          </w:p>
        </w:tc>
        <w:tc>
          <w:tcPr>
            <w:tcW w:w="6854" w:type="dxa"/>
            <w:shd w:val="clear" w:color="auto" w:fill="auto"/>
            <w:noWrap/>
            <w:hideMark/>
          </w:tcPr>
          <w:p w14:paraId="1F71893C" w14:textId="26F56FB8" w:rsidR="00463914"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 xml:space="preserve">This tool provides a structure </w:t>
            </w:r>
            <w:r w:rsidR="00332F8D" w:rsidRPr="004402B2">
              <w:rPr>
                <w:rFonts w:asciiTheme="minorHAnsi" w:hAnsiTheme="minorHAnsi" w:cstheme="minorHAnsi"/>
                <w:sz w:val="20"/>
              </w:rPr>
              <w:t xml:space="preserve">that </w:t>
            </w:r>
            <w:r w:rsidRPr="004402B2">
              <w:rPr>
                <w:rFonts w:asciiTheme="minorHAnsi" w:hAnsiTheme="minorHAnsi" w:cstheme="minorHAnsi"/>
                <w:sz w:val="20"/>
              </w:rPr>
              <w:t>state</w:t>
            </w:r>
            <w:r w:rsidR="00AB0899" w:rsidRPr="004402B2">
              <w:rPr>
                <w:rFonts w:asciiTheme="minorHAnsi" w:hAnsiTheme="minorHAnsi" w:cstheme="minorHAnsi"/>
                <w:sz w:val="20"/>
              </w:rPr>
              <w:t>s</w:t>
            </w:r>
            <w:r w:rsidRPr="004402B2">
              <w:rPr>
                <w:rFonts w:asciiTheme="minorHAnsi" w:hAnsiTheme="minorHAnsi" w:cstheme="minorHAnsi"/>
                <w:sz w:val="20"/>
              </w:rPr>
              <w:t xml:space="preserve"> and local teams </w:t>
            </w:r>
            <w:r w:rsidR="00332F8D" w:rsidRPr="004402B2">
              <w:rPr>
                <w:rFonts w:asciiTheme="minorHAnsi" w:hAnsiTheme="minorHAnsi" w:cstheme="minorHAnsi"/>
                <w:sz w:val="20"/>
              </w:rPr>
              <w:t xml:space="preserve">can use </w:t>
            </w:r>
            <w:r w:rsidRPr="004402B2">
              <w:rPr>
                <w:rFonts w:asciiTheme="minorHAnsi" w:hAnsiTheme="minorHAnsi" w:cstheme="minorHAnsi"/>
                <w:sz w:val="20"/>
              </w:rPr>
              <w:t>to guide data conversations, including steps to follow before, during, and after meetings to support d</w:t>
            </w:r>
            <w:bookmarkStart w:id="0" w:name="_GoBack"/>
            <w:bookmarkEnd w:id="0"/>
            <w:r w:rsidRPr="004402B2">
              <w:rPr>
                <w:rFonts w:asciiTheme="minorHAnsi" w:hAnsiTheme="minorHAnsi" w:cstheme="minorHAnsi"/>
                <w:sz w:val="20"/>
              </w:rPr>
              <w:t xml:space="preserve">ata-informed </w:t>
            </w:r>
            <w:proofErr w:type="spellStart"/>
            <w:r w:rsidRPr="004402B2">
              <w:rPr>
                <w:rFonts w:asciiTheme="minorHAnsi" w:hAnsiTheme="minorHAnsi" w:cstheme="minorHAnsi"/>
                <w:sz w:val="20"/>
              </w:rPr>
              <w:t>decisionmaking</w:t>
            </w:r>
            <w:proofErr w:type="spellEnd"/>
            <w:r w:rsidRPr="004402B2">
              <w:rPr>
                <w:rFonts w:asciiTheme="minorHAnsi" w:hAnsiTheme="minorHAnsi" w:cstheme="minorHAnsi"/>
                <w:sz w:val="20"/>
              </w:rPr>
              <w:t>.</w:t>
            </w:r>
          </w:p>
        </w:tc>
      </w:tr>
      <w:tr w:rsidR="00463914" w:rsidRPr="006A7F38" w14:paraId="17CE0D12" w14:textId="77777777" w:rsidTr="00E05D02">
        <w:trPr>
          <w:trHeight w:val="20"/>
        </w:trPr>
        <w:tc>
          <w:tcPr>
            <w:tcW w:w="2506" w:type="dxa"/>
            <w:shd w:val="clear" w:color="auto" w:fill="auto"/>
            <w:noWrap/>
            <w:hideMark/>
          </w:tcPr>
          <w:p w14:paraId="66DB06D2" w14:textId="77777777" w:rsidR="00463914" w:rsidRPr="004402B2" w:rsidRDefault="000321D2" w:rsidP="00127A40">
            <w:pPr>
              <w:pStyle w:val="SL-FlLftSgl"/>
              <w:rPr>
                <w:rFonts w:asciiTheme="minorHAnsi" w:hAnsiTheme="minorHAnsi" w:cstheme="minorHAnsi"/>
                <w:i/>
                <w:sz w:val="20"/>
                <w:u w:val="single"/>
              </w:rPr>
            </w:pPr>
            <w:hyperlink r:id="rId9" w:history="1">
              <w:r w:rsidR="00463914" w:rsidRPr="004402B2">
                <w:rPr>
                  <w:rFonts w:asciiTheme="minorHAnsi" w:hAnsiTheme="minorHAnsi" w:cstheme="minorHAnsi"/>
                  <w:i/>
                  <w:sz w:val="20"/>
                  <w:u w:val="single"/>
                </w:rPr>
                <w:t>IDEA Data Quality: Outlier Analyses Tools</w:t>
              </w:r>
            </w:hyperlink>
          </w:p>
        </w:tc>
        <w:tc>
          <w:tcPr>
            <w:tcW w:w="6854" w:type="dxa"/>
            <w:shd w:val="clear" w:color="auto" w:fill="auto"/>
            <w:hideMark/>
          </w:tcPr>
          <w:p w14:paraId="7ED6F6FC" w14:textId="3B1636C7" w:rsidR="00463914"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 xml:space="preserve">State personnel responsible for the IDEA 618 and 616 data can use these tools to conduct outlier analyses. The resource includes a tutorial on completing an outlier analysis and a tool state staff can use to conduct outlier analyses with their local data. </w:t>
            </w:r>
          </w:p>
        </w:tc>
      </w:tr>
      <w:tr w:rsidR="00463914" w:rsidRPr="006A7F38" w14:paraId="08D1D648" w14:textId="77777777" w:rsidTr="00E05D02">
        <w:trPr>
          <w:trHeight w:val="20"/>
        </w:trPr>
        <w:tc>
          <w:tcPr>
            <w:tcW w:w="2506" w:type="dxa"/>
            <w:shd w:val="clear" w:color="auto" w:fill="auto"/>
            <w:noWrap/>
          </w:tcPr>
          <w:p w14:paraId="56D83831" w14:textId="5735EB58" w:rsidR="00463914" w:rsidRPr="004402B2" w:rsidRDefault="000321D2" w:rsidP="00127A40">
            <w:pPr>
              <w:pStyle w:val="SL-FlLftSgl"/>
              <w:rPr>
                <w:rFonts w:asciiTheme="minorHAnsi" w:hAnsiTheme="minorHAnsi" w:cstheme="minorHAnsi"/>
                <w:i/>
                <w:sz w:val="20"/>
                <w:u w:val="single"/>
              </w:rPr>
            </w:pPr>
            <w:hyperlink r:id="rId10" w:history="1">
              <w:r w:rsidR="001A3B04" w:rsidRPr="004402B2">
                <w:rPr>
                  <w:rStyle w:val="Hyperlink"/>
                  <w:rFonts w:asciiTheme="minorHAnsi" w:hAnsiTheme="minorHAnsi" w:cstheme="minorHAnsi"/>
                  <w:i/>
                  <w:color w:val="auto"/>
                  <w:sz w:val="20"/>
                </w:rPr>
                <w:t>Outlier Analyse</w:t>
              </w:r>
              <w:r w:rsidR="00463914" w:rsidRPr="004402B2">
                <w:rPr>
                  <w:rStyle w:val="Hyperlink"/>
                  <w:rFonts w:asciiTheme="minorHAnsi" w:hAnsiTheme="minorHAnsi" w:cstheme="minorHAnsi"/>
                  <w:i/>
                  <w:color w:val="auto"/>
                  <w:sz w:val="20"/>
                </w:rPr>
                <w:t>s: Step-by-Step Guide</w:t>
              </w:r>
            </w:hyperlink>
          </w:p>
        </w:tc>
        <w:tc>
          <w:tcPr>
            <w:tcW w:w="6854" w:type="dxa"/>
            <w:shd w:val="clear" w:color="auto" w:fill="auto"/>
          </w:tcPr>
          <w:p w14:paraId="3FF082AC" w14:textId="3F88988A" w:rsidR="00463914"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State personnel can use this guide to identify data that deviate from an established norm so they can investigate deviations as possible data errors</w:t>
            </w:r>
            <w:r w:rsidR="00FE1886" w:rsidRPr="004402B2">
              <w:rPr>
                <w:rFonts w:asciiTheme="minorHAnsi" w:hAnsiTheme="minorHAnsi" w:cstheme="minorHAnsi"/>
                <w:sz w:val="20"/>
              </w:rPr>
              <w:t>.</w:t>
            </w:r>
          </w:p>
        </w:tc>
      </w:tr>
      <w:tr w:rsidR="000321D2" w:rsidRPr="000321D2" w14:paraId="19276C59" w14:textId="77777777" w:rsidTr="00E05D02">
        <w:trPr>
          <w:trHeight w:val="288"/>
        </w:trPr>
        <w:tc>
          <w:tcPr>
            <w:tcW w:w="2506" w:type="dxa"/>
            <w:shd w:val="clear" w:color="auto" w:fill="1CDEC7"/>
            <w:noWrap/>
            <w:vAlign w:val="center"/>
          </w:tcPr>
          <w:p w14:paraId="75163ACE" w14:textId="77777777" w:rsidR="00D01E76" w:rsidRPr="000321D2" w:rsidRDefault="00D01E76"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Reporting</w:t>
            </w:r>
          </w:p>
        </w:tc>
        <w:tc>
          <w:tcPr>
            <w:tcW w:w="6854" w:type="dxa"/>
            <w:shd w:val="clear" w:color="auto" w:fill="1CDEC7"/>
            <w:vAlign w:val="center"/>
          </w:tcPr>
          <w:p w14:paraId="70DAE8F1" w14:textId="77777777" w:rsidR="00D01E76" w:rsidRPr="000321D2" w:rsidRDefault="00D01E76" w:rsidP="00FE1886">
            <w:pPr>
              <w:pStyle w:val="SL-FlLftSgl"/>
              <w:rPr>
                <w:rFonts w:asciiTheme="minorHAnsi" w:hAnsiTheme="minorHAnsi" w:cstheme="minorHAnsi"/>
                <w:b/>
                <w:color w:val="000000" w:themeColor="text1"/>
                <w:sz w:val="22"/>
                <w:szCs w:val="22"/>
              </w:rPr>
            </w:pPr>
          </w:p>
        </w:tc>
      </w:tr>
      <w:tr w:rsidR="000144C7" w:rsidRPr="006A7F38" w14:paraId="1C2A579E" w14:textId="77777777" w:rsidTr="00E05D02">
        <w:trPr>
          <w:trHeight w:val="20"/>
        </w:trPr>
        <w:tc>
          <w:tcPr>
            <w:tcW w:w="2506" w:type="dxa"/>
            <w:shd w:val="clear" w:color="auto" w:fill="auto"/>
          </w:tcPr>
          <w:p w14:paraId="44683B04" w14:textId="76F08DDC" w:rsidR="000144C7" w:rsidRPr="008F3FBB" w:rsidRDefault="000144C7" w:rsidP="00127A40">
            <w:pPr>
              <w:pStyle w:val="SL-FlLftSgl"/>
              <w:rPr>
                <w:rFonts w:asciiTheme="minorHAnsi" w:hAnsiTheme="minorHAnsi" w:cstheme="minorHAnsi"/>
              </w:rPr>
            </w:pPr>
            <w:r w:rsidRPr="008F3FBB">
              <w:rPr>
                <w:rFonts w:asciiTheme="minorHAnsi" w:hAnsiTheme="minorHAnsi" w:cstheme="minorHAnsi"/>
                <w:i/>
                <w:sz w:val="20"/>
                <w:u w:val="single"/>
              </w:rPr>
              <w:t>Interactive Public Reporting Engine</w:t>
            </w:r>
          </w:p>
        </w:tc>
        <w:tc>
          <w:tcPr>
            <w:tcW w:w="6854" w:type="dxa"/>
            <w:shd w:val="clear" w:color="auto" w:fill="auto"/>
          </w:tcPr>
          <w:p w14:paraId="6DACE06B" w14:textId="6715D545" w:rsidR="000144C7" w:rsidRPr="008F3FBB" w:rsidRDefault="000144C7" w:rsidP="00FE1886">
            <w:pPr>
              <w:pStyle w:val="SL-FlLftSgl"/>
              <w:rPr>
                <w:rFonts w:asciiTheme="minorHAnsi" w:hAnsiTheme="minorHAnsi" w:cstheme="minorHAnsi"/>
                <w:sz w:val="20"/>
              </w:rPr>
            </w:pPr>
            <w:r w:rsidRPr="008F3FBB">
              <w:rPr>
                <w:rFonts w:asciiTheme="minorHAnsi" w:hAnsiTheme="minorHAnsi" w:cstheme="minorHAnsi"/>
                <w:sz w:val="20"/>
              </w:rPr>
              <w:t xml:space="preserve">The </w:t>
            </w:r>
            <w:r w:rsidRPr="008F3FBB">
              <w:rPr>
                <w:rStyle w:val="Emphasis"/>
                <w:rFonts w:asciiTheme="minorHAnsi" w:hAnsiTheme="minorHAnsi" w:cstheme="minorHAnsi"/>
                <w:i w:val="0"/>
                <w:sz w:val="20"/>
              </w:rPr>
              <w:t>tool</w:t>
            </w:r>
            <w:r w:rsidRPr="008F3FBB">
              <w:rPr>
                <w:rFonts w:asciiTheme="minorHAnsi" w:hAnsiTheme="minorHAnsi" w:cstheme="minorHAnsi"/>
                <w:sz w:val="20"/>
              </w:rPr>
              <w:t xml:space="preserve"> displays the complete set of IDEA data that states collect and submit to OSEP to meet the requirements of Section 618 of IDEA. This tool displays each dataset and the required </w:t>
            </w:r>
            <w:proofErr w:type="spellStart"/>
            <w:r w:rsidRPr="008F3FBB">
              <w:rPr>
                <w:rFonts w:asciiTheme="minorHAnsi" w:hAnsiTheme="minorHAnsi" w:cstheme="minorHAnsi"/>
                <w:sz w:val="20"/>
              </w:rPr>
              <w:t>disaggregations</w:t>
            </w:r>
            <w:proofErr w:type="spellEnd"/>
            <w:r w:rsidRPr="008F3FBB">
              <w:rPr>
                <w:rFonts w:asciiTheme="minorHAnsi" w:hAnsiTheme="minorHAnsi" w:cstheme="minorHAnsi"/>
                <w:sz w:val="20"/>
              </w:rPr>
              <w:t xml:space="preserve"> such as race/ethnicity, gender, and age.</w:t>
            </w:r>
          </w:p>
        </w:tc>
      </w:tr>
      <w:tr w:rsidR="00D01E76" w:rsidRPr="006A7F38" w14:paraId="1605FC1B" w14:textId="77777777" w:rsidTr="00E05D02">
        <w:trPr>
          <w:trHeight w:val="20"/>
        </w:trPr>
        <w:tc>
          <w:tcPr>
            <w:tcW w:w="2506" w:type="dxa"/>
            <w:shd w:val="clear" w:color="auto" w:fill="auto"/>
            <w:hideMark/>
          </w:tcPr>
          <w:p w14:paraId="1874637B" w14:textId="77777777" w:rsidR="00D01E76" w:rsidRPr="004402B2" w:rsidRDefault="000321D2" w:rsidP="00127A40">
            <w:pPr>
              <w:pStyle w:val="SL-FlLftSgl"/>
              <w:rPr>
                <w:rFonts w:asciiTheme="minorHAnsi" w:hAnsiTheme="minorHAnsi" w:cstheme="minorHAnsi"/>
                <w:i/>
                <w:sz w:val="20"/>
                <w:u w:val="single"/>
              </w:rPr>
            </w:pPr>
            <w:hyperlink r:id="rId11" w:history="1">
              <w:r w:rsidR="00D01E76" w:rsidRPr="004402B2">
                <w:rPr>
                  <w:rStyle w:val="Hyperlink"/>
                  <w:rFonts w:asciiTheme="minorHAnsi" w:hAnsiTheme="minorHAnsi" w:cstheme="minorHAnsi"/>
                  <w:i/>
                  <w:color w:val="auto"/>
                  <w:sz w:val="20"/>
                </w:rPr>
                <w:t>IDEA Section 618 Public Reporting Data Element Checklists</w:t>
              </w:r>
            </w:hyperlink>
          </w:p>
        </w:tc>
        <w:tc>
          <w:tcPr>
            <w:tcW w:w="6854" w:type="dxa"/>
            <w:shd w:val="clear" w:color="auto" w:fill="auto"/>
            <w:hideMark/>
          </w:tcPr>
          <w:p w14:paraId="441934A8" w14:textId="544DDF52" w:rsidR="00D01E76"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States can use these interactive checklists to meet IDEA Section 618 public reporting requirements</w:t>
            </w:r>
            <w:r w:rsidR="006646B2" w:rsidRPr="004402B2">
              <w:rPr>
                <w:rFonts w:asciiTheme="minorHAnsi" w:hAnsiTheme="minorHAnsi" w:cstheme="minorHAnsi"/>
                <w:sz w:val="20"/>
              </w:rPr>
              <w:t>. The checklists</w:t>
            </w:r>
            <w:r w:rsidRPr="004402B2">
              <w:rPr>
                <w:rFonts w:asciiTheme="minorHAnsi" w:hAnsiTheme="minorHAnsi" w:cstheme="minorHAnsi"/>
                <w:sz w:val="20"/>
              </w:rPr>
              <w:t xml:space="preserve"> enumerat</w:t>
            </w:r>
            <w:r w:rsidR="006646B2" w:rsidRPr="004402B2">
              <w:rPr>
                <w:rFonts w:asciiTheme="minorHAnsi" w:hAnsiTheme="minorHAnsi" w:cstheme="minorHAnsi"/>
                <w:sz w:val="20"/>
              </w:rPr>
              <w:t>e</w:t>
            </w:r>
            <w:r w:rsidRPr="004402B2">
              <w:rPr>
                <w:rFonts w:asciiTheme="minorHAnsi" w:hAnsiTheme="minorHAnsi" w:cstheme="minorHAnsi"/>
                <w:sz w:val="20"/>
              </w:rPr>
              <w:t xml:space="preserve"> data collections and the specific subgroups by which</w:t>
            </w:r>
            <w:r w:rsidR="006646B2" w:rsidRPr="004402B2">
              <w:rPr>
                <w:rFonts w:asciiTheme="minorHAnsi" w:hAnsiTheme="minorHAnsi" w:cstheme="minorHAnsi"/>
                <w:sz w:val="20"/>
              </w:rPr>
              <w:t xml:space="preserve"> states</w:t>
            </w:r>
            <w:r w:rsidRPr="004402B2">
              <w:rPr>
                <w:rFonts w:asciiTheme="minorHAnsi" w:hAnsiTheme="minorHAnsi" w:cstheme="minorHAnsi"/>
                <w:sz w:val="20"/>
              </w:rPr>
              <w:t xml:space="preserve"> are required to report the data</w:t>
            </w:r>
            <w:r w:rsidR="001A3B04" w:rsidRPr="004402B2">
              <w:rPr>
                <w:rFonts w:asciiTheme="minorHAnsi" w:hAnsiTheme="minorHAnsi" w:cstheme="minorHAnsi"/>
                <w:sz w:val="20"/>
              </w:rPr>
              <w:t xml:space="preserve"> publicly</w:t>
            </w:r>
            <w:r w:rsidRPr="004402B2">
              <w:rPr>
                <w:rFonts w:asciiTheme="minorHAnsi" w:hAnsiTheme="minorHAnsi" w:cstheme="minorHAnsi"/>
                <w:sz w:val="20"/>
              </w:rPr>
              <w:t>.</w:t>
            </w:r>
          </w:p>
        </w:tc>
      </w:tr>
      <w:tr w:rsidR="00D01E76" w:rsidRPr="006A7F38" w14:paraId="642618AA" w14:textId="77777777" w:rsidTr="00E05D02">
        <w:trPr>
          <w:trHeight w:val="20"/>
        </w:trPr>
        <w:tc>
          <w:tcPr>
            <w:tcW w:w="2506" w:type="dxa"/>
            <w:shd w:val="clear" w:color="auto" w:fill="auto"/>
            <w:hideMark/>
          </w:tcPr>
          <w:p w14:paraId="7EA560EF" w14:textId="77777777" w:rsidR="00D01E76" w:rsidRPr="004402B2" w:rsidRDefault="000321D2" w:rsidP="00127A40">
            <w:pPr>
              <w:pStyle w:val="SL-FlLftSgl"/>
              <w:rPr>
                <w:rFonts w:asciiTheme="minorHAnsi" w:hAnsiTheme="minorHAnsi" w:cstheme="minorHAnsi"/>
                <w:i/>
                <w:sz w:val="20"/>
                <w:u w:val="single"/>
              </w:rPr>
            </w:pPr>
            <w:hyperlink r:id="rId12" w:history="1">
              <w:r w:rsidR="00D01E76" w:rsidRPr="004402B2">
                <w:rPr>
                  <w:rStyle w:val="Hyperlink"/>
                  <w:rFonts w:asciiTheme="minorHAnsi" w:hAnsiTheme="minorHAnsi" w:cstheme="minorHAnsi"/>
                  <w:i/>
                  <w:color w:val="auto"/>
                  <w:sz w:val="20"/>
                </w:rPr>
                <w:t>Section 618 Public Reporting Requirements</w:t>
              </w:r>
            </w:hyperlink>
          </w:p>
        </w:tc>
        <w:tc>
          <w:tcPr>
            <w:tcW w:w="6854" w:type="dxa"/>
            <w:shd w:val="clear" w:color="auto" w:fill="auto"/>
            <w:hideMark/>
          </w:tcPr>
          <w:p w14:paraId="2984BBD1" w14:textId="77777777" w:rsidR="00D01E76"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This infographic provides an overview of the public reporting requirements for IDEA Section 618 and processes for fulfilling the requirements.</w:t>
            </w:r>
          </w:p>
        </w:tc>
      </w:tr>
      <w:tr w:rsidR="000321D2" w:rsidRPr="000321D2" w14:paraId="0ADCC0F0" w14:textId="77777777" w:rsidTr="00E05D02">
        <w:trPr>
          <w:trHeight w:val="288"/>
        </w:trPr>
        <w:tc>
          <w:tcPr>
            <w:tcW w:w="2506" w:type="dxa"/>
            <w:shd w:val="clear" w:color="auto" w:fill="1CDEC7"/>
            <w:noWrap/>
            <w:vAlign w:val="center"/>
          </w:tcPr>
          <w:p w14:paraId="191D7662" w14:textId="77777777" w:rsidR="00C902B4" w:rsidRPr="000321D2" w:rsidRDefault="00C902B4"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Requirements</w:t>
            </w:r>
          </w:p>
        </w:tc>
        <w:tc>
          <w:tcPr>
            <w:tcW w:w="6854" w:type="dxa"/>
            <w:shd w:val="clear" w:color="auto" w:fill="1CDEC7"/>
            <w:vAlign w:val="center"/>
          </w:tcPr>
          <w:p w14:paraId="1A535B28" w14:textId="77777777" w:rsidR="00C902B4" w:rsidRPr="000321D2" w:rsidRDefault="00C902B4" w:rsidP="00FE1886">
            <w:pPr>
              <w:pStyle w:val="SL-FlLftSgl"/>
              <w:rPr>
                <w:rFonts w:asciiTheme="minorHAnsi" w:hAnsiTheme="minorHAnsi" w:cstheme="minorHAnsi"/>
                <w:b/>
                <w:color w:val="000000" w:themeColor="text1"/>
                <w:sz w:val="22"/>
                <w:szCs w:val="22"/>
              </w:rPr>
            </w:pPr>
          </w:p>
        </w:tc>
      </w:tr>
      <w:tr w:rsidR="00C902B4" w:rsidRPr="008E50BA" w14:paraId="2CA04070" w14:textId="77777777" w:rsidTr="00E05D02">
        <w:trPr>
          <w:trHeight w:val="20"/>
        </w:trPr>
        <w:tc>
          <w:tcPr>
            <w:tcW w:w="2506" w:type="dxa"/>
            <w:shd w:val="clear" w:color="auto" w:fill="auto"/>
            <w:hideMark/>
          </w:tcPr>
          <w:p w14:paraId="51E25B87" w14:textId="77777777" w:rsidR="00C902B4" w:rsidRPr="004402B2" w:rsidRDefault="000321D2" w:rsidP="00127A40">
            <w:pPr>
              <w:pStyle w:val="SL-FlLftSgl"/>
              <w:rPr>
                <w:rFonts w:asciiTheme="minorHAnsi" w:hAnsiTheme="minorHAnsi" w:cstheme="minorHAnsi"/>
                <w:i/>
                <w:sz w:val="20"/>
                <w:u w:val="single"/>
              </w:rPr>
            </w:pPr>
            <w:hyperlink r:id="rId13" w:history="1">
              <w:r w:rsidR="00C902B4" w:rsidRPr="004402B2">
                <w:rPr>
                  <w:rStyle w:val="Hyperlink"/>
                  <w:rFonts w:asciiTheme="minorHAnsi" w:hAnsiTheme="minorHAnsi" w:cstheme="minorHAnsi"/>
                  <w:i/>
                  <w:color w:val="auto"/>
                  <w:sz w:val="20"/>
                </w:rPr>
                <w:t>Quick References for IDEA Data</w:t>
              </w:r>
            </w:hyperlink>
          </w:p>
        </w:tc>
        <w:tc>
          <w:tcPr>
            <w:tcW w:w="6854" w:type="dxa"/>
            <w:shd w:val="clear" w:color="auto" w:fill="auto"/>
            <w:hideMark/>
          </w:tcPr>
          <w:p w14:paraId="73DE278D" w14:textId="77777777" w:rsidR="00C902B4" w:rsidRPr="004402B2" w:rsidRDefault="00C902B4" w:rsidP="00FE1886">
            <w:pPr>
              <w:pStyle w:val="SL-FlLftSgl"/>
              <w:rPr>
                <w:rFonts w:asciiTheme="minorHAnsi" w:hAnsiTheme="minorHAnsi" w:cstheme="minorHAnsi"/>
                <w:sz w:val="20"/>
              </w:rPr>
            </w:pPr>
            <w:r w:rsidRPr="004402B2">
              <w:rPr>
                <w:rFonts w:asciiTheme="minorHAnsi" w:hAnsiTheme="minorHAnsi" w:cstheme="minorHAnsi"/>
                <w:sz w:val="20"/>
              </w:rPr>
              <w:t>These references contain basic information about IDEA Part B and Part C data collections, data systems, and how to access resources for IDEA data.</w:t>
            </w:r>
          </w:p>
        </w:tc>
      </w:tr>
      <w:tr w:rsidR="003F2219" w:rsidRPr="008E50BA" w14:paraId="32803709" w14:textId="77777777" w:rsidTr="00E05D02">
        <w:trPr>
          <w:trHeight w:val="20"/>
        </w:trPr>
        <w:tc>
          <w:tcPr>
            <w:tcW w:w="2506" w:type="dxa"/>
            <w:shd w:val="clear" w:color="auto" w:fill="auto"/>
          </w:tcPr>
          <w:p w14:paraId="5571A938" w14:textId="68DE9A62" w:rsidR="003F2219" w:rsidRPr="004402B2" w:rsidRDefault="000321D2" w:rsidP="00127A40">
            <w:pPr>
              <w:pStyle w:val="SL-FlLftSgl"/>
              <w:rPr>
                <w:u w:val="single"/>
              </w:rPr>
            </w:pPr>
            <w:hyperlink r:id="rId14" w:history="1">
              <w:r w:rsidR="003F2219" w:rsidRPr="004402B2">
                <w:rPr>
                  <w:rStyle w:val="Hyperlink"/>
                  <w:rFonts w:asciiTheme="minorHAnsi" w:hAnsiTheme="minorHAnsi" w:cstheme="minorHAnsi"/>
                  <w:i/>
                  <w:color w:val="auto"/>
                  <w:sz w:val="20"/>
                </w:rPr>
                <w:t>SPP Indicator Cards</w:t>
              </w:r>
            </w:hyperlink>
          </w:p>
        </w:tc>
        <w:tc>
          <w:tcPr>
            <w:tcW w:w="6854" w:type="dxa"/>
            <w:shd w:val="clear" w:color="auto" w:fill="auto"/>
            <w:vAlign w:val="center"/>
          </w:tcPr>
          <w:p w14:paraId="0475B3D2" w14:textId="0291E98A"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States can use this set of laminated cards when refe</w:t>
            </w:r>
            <w:r w:rsidR="00573E75" w:rsidRPr="004402B2">
              <w:rPr>
                <w:rFonts w:asciiTheme="minorHAnsi" w:hAnsiTheme="minorHAnsi" w:cstheme="minorHAnsi"/>
                <w:sz w:val="20"/>
              </w:rPr>
              <w:t>rring to the Part B and Part C I</w:t>
            </w:r>
            <w:r w:rsidRPr="004402B2">
              <w:rPr>
                <w:rFonts w:asciiTheme="minorHAnsi" w:hAnsiTheme="minorHAnsi" w:cstheme="minorHAnsi"/>
                <w:sz w:val="20"/>
              </w:rPr>
              <w:t xml:space="preserve">ndicators. The front and back of the three cards have Part B and Part C Indicators, Part B Indicators and details about the </w:t>
            </w:r>
            <w:r w:rsidR="001A3B04" w:rsidRPr="004402B2">
              <w:rPr>
                <w:rFonts w:asciiTheme="minorHAnsi" w:hAnsiTheme="minorHAnsi" w:cstheme="minorHAnsi"/>
                <w:sz w:val="20"/>
              </w:rPr>
              <w:t>State Systemic Improvement Plan (</w:t>
            </w:r>
            <w:r w:rsidRPr="004402B2">
              <w:rPr>
                <w:rFonts w:asciiTheme="minorHAnsi" w:hAnsiTheme="minorHAnsi" w:cstheme="minorHAnsi"/>
                <w:sz w:val="20"/>
              </w:rPr>
              <w:t>SSIP</w:t>
            </w:r>
            <w:r w:rsidR="001A3B04" w:rsidRPr="004402B2">
              <w:rPr>
                <w:rFonts w:asciiTheme="minorHAnsi" w:hAnsiTheme="minorHAnsi" w:cstheme="minorHAnsi"/>
                <w:sz w:val="20"/>
              </w:rPr>
              <w:t>)</w:t>
            </w:r>
            <w:r w:rsidRPr="004402B2">
              <w:rPr>
                <w:rFonts w:asciiTheme="minorHAnsi" w:hAnsiTheme="minorHAnsi" w:cstheme="minorHAnsi"/>
                <w:sz w:val="20"/>
              </w:rPr>
              <w:t xml:space="preserve"> Indicator B17, and Part C Indicators and details about the SSIP Indicator C11, respectively. States can contact their IDC State Liaisons for more information or to obtain the cards. </w:t>
            </w:r>
          </w:p>
        </w:tc>
      </w:tr>
      <w:tr w:rsidR="000321D2" w:rsidRPr="000321D2" w14:paraId="696F2B2D" w14:textId="77777777" w:rsidTr="00E05D02">
        <w:trPr>
          <w:trHeight w:val="288"/>
        </w:trPr>
        <w:tc>
          <w:tcPr>
            <w:tcW w:w="2506" w:type="dxa"/>
            <w:shd w:val="clear" w:color="auto" w:fill="1CDEC7"/>
            <w:noWrap/>
            <w:vAlign w:val="center"/>
          </w:tcPr>
          <w:p w14:paraId="1AD4D80A" w14:textId="77777777" w:rsidR="003F2219" w:rsidRPr="000321D2" w:rsidRDefault="003F2219"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Submission</w:t>
            </w:r>
          </w:p>
        </w:tc>
        <w:tc>
          <w:tcPr>
            <w:tcW w:w="6854" w:type="dxa"/>
            <w:shd w:val="clear" w:color="auto" w:fill="1CDEC7"/>
            <w:vAlign w:val="center"/>
          </w:tcPr>
          <w:p w14:paraId="7270B8D1" w14:textId="77777777" w:rsidR="003F2219" w:rsidRPr="000321D2" w:rsidRDefault="003F2219" w:rsidP="00FE1886">
            <w:pPr>
              <w:pStyle w:val="SL-FlLftSgl"/>
              <w:rPr>
                <w:rFonts w:asciiTheme="minorHAnsi" w:hAnsiTheme="minorHAnsi" w:cstheme="minorHAnsi"/>
                <w:b/>
                <w:color w:val="000000" w:themeColor="text1"/>
                <w:sz w:val="22"/>
                <w:szCs w:val="22"/>
              </w:rPr>
            </w:pPr>
          </w:p>
        </w:tc>
      </w:tr>
      <w:tr w:rsidR="003F2219" w:rsidRPr="00C03956" w14:paraId="1FE8A2FA" w14:textId="77777777" w:rsidTr="00E05D02">
        <w:trPr>
          <w:trHeight w:val="20"/>
        </w:trPr>
        <w:tc>
          <w:tcPr>
            <w:tcW w:w="2506" w:type="dxa"/>
            <w:shd w:val="clear" w:color="auto" w:fill="auto"/>
            <w:noWrap/>
            <w:hideMark/>
          </w:tcPr>
          <w:p w14:paraId="68D843EC" w14:textId="77777777" w:rsidR="003F2219" w:rsidRPr="004402B2" w:rsidRDefault="000321D2" w:rsidP="00127A40">
            <w:pPr>
              <w:pStyle w:val="SL-FlLftSgl"/>
              <w:rPr>
                <w:rFonts w:asciiTheme="minorHAnsi" w:hAnsiTheme="minorHAnsi" w:cstheme="minorHAnsi"/>
                <w:i/>
                <w:sz w:val="20"/>
                <w:u w:val="single"/>
              </w:rPr>
            </w:pPr>
            <w:hyperlink r:id="rId15" w:history="1">
              <w:r w:rsidR="003F2219" w:rsidRPr="004402B2">
                <w:rPr>
                  <w:rFonts w:asciiTheme="minorHAnsi" w:hAnsiTheme="minorHAnsi" w:cstheme="minorHAnsi"/>
                  <w:i/>
                  <w:sz w:val="20"/>
                  <w:u w:val="single"/>
                </w:rPr>
                <w:t>618 Data Pre-submission Edit Check Tools </w:t>
              </w:r>
            </w:hyperlink>
          </w:p>
        </w:tc>
        <w:tc>
          <w:tcPr>
            <w:tcW w:w="6854" w:type="dxa"/>
            <w:shd w:val="clear" w:color="auto" w:fill="auto"/>
            <w:hideMark/>
          </w:tcPr>
          <w:p w14:paraId="4BB2A820" w14:textId="43311F16"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These tools help states in preparing their Part C and </w:t>
            </w:r>
            <w:r w:rsidR="001A3B04" w:rsidRPr="004402B2">
              <w:rPr>
                <w:rFonts w:asciiTheme="minorHAnsi" w:hAnsiTheme="minorHAnsi" w:cstheme="minorHAnsi"/>
                <w:sz w:val="20"/>
              </w:rPr>
              <w:t xml:space="preserve">Part </w:t>
            </w:r>
            <w:r w:rsidRPr="004402B2">
              <w:rPr>
                <w:rFonts w:asciiTheme="minorHAnsi" w:hAnsiTheme="minorHAnsi" w:cstheme="minorHAnsi"/>
                <w:sz w:val="20"/>
              </w:rPr>
              <w:t xml:space="preserve">B data submissions, including identifying potential edit check errors or errors in subtotals or totals, prior to </w:t>
            </w:r>
            <w:r w:rsidR="001A3B04" w:rsidRPr="004402B2">
              <w:rPr>
                <w:rFonts w:asciiTheme="minorHAnsi" w:hAnsiTheme="minorHAnsi" w:cstheme="minorHAnsi"/>
                <w:sz w:val="20"/>
              </w:rPr>
              <w:t>Office of Special Education Programs (</w:t>
            </w:r>
            <w:r w:rsidRPr="004402B2">
              <w:rPr>
                <w:rFonts w:asciiTheme="minorHAnsi" w:hAnsiTheme="minorHAnsi" w:cstheme="minorHAnsi"/>
                <w:sz w:val="20"/>
              </w:rPr>
              <w:t>OSEP</w:t>
            </w:r>
            <w:r w:rsidR="001A3B04" w:rsidRPr="004402B2">
              <w:rPr>
                <w:rFonts w:asciiTheme="minorHAnsi" w:hAnsiTheme="minorHAnsi" w:cstheme="minorHAnsi"/>
                <w:sz w:val="20"/>
              </w:rPr>
              <w:t>)</w:t>
            </w:r>
            <w:r w:rsidRPr="004402B2">
              <w:rPr>
                <w:rFonts w:asciiTheme="minorHAnsi" w:hAnsiTheme="minorHAnsi" w:cstheme="minorHAnsi"/>
                <w:sz w:val="20"/>
              </w:rPr>
              <w:t xml:space="preserve"> submission.</w:t>
            </w:r>
          </w:p>
        </w:tc>
      </w:tr>
      <w:tr w:rsidR="003F2219" w:rsidRPr="00403870" w14:paraId="7C96BA89" w14:textId="77777777" w:rsidTr="00E05D02">
        <w:trPr>
          <w:trHeight w:val="20"/>
        </w:trPr>
        <w:tc>
          <w:tcPr>
            <w:tcW w:w="2506" w:type="dxa"/>
            <w:shd w:val="clear" w:color="auto" w:fill="auto"/>
            <w:noWrap/>
          </w:tcPr>
          <w:p w14:paraId="3AC11202" w14:textId="77777777" w:rsidR="003F2219" w:rsidRPr="004402B2" w:rsidRDefault="000321D2" w:rsidP="00127A40">
            <w:pPr>
              <w:pStyle w:val="SL-FlLftSgl"/>
              <w:rPr>
                <w:rFonts w:asciiTheme="minorHAnsi" w:hAnsiTheme="minorHAnsi" w:cstheme="minorHAnsi"/>
                <w:i/>
                <w:sz w:val="20"/>
                <w:u w:val="single"/>
              </w:rPr>
            </w:pPr>
            <w:hyperlink r:id="rId16" w:history="1">
              <w:r w:rsidR="003F2219" w:rsidRPr="004402B2">
                <w:rPr>
                  <w:rFonts w:asciiTheme="minorHAnsi" w:hAnsiTheme="minorHAnsi" w:cstheme="minorHAnsi"/>
                  <w:i/>
                  <w:sz w:val="20"/>
                  <w:u w:val="single"/>
                </w:rPr>
                <w:t>IDEA Data Training Modules</w:t>
              </w:r>
            </w:hyperlink>
          </w:p>
        </w:tc>
        <w:tc>
          <w:tcPr>
            <w:tcW w:w="6854" w:type="dxa"/>
            <w:shd w:val="clear" w:color="auto" w:fill="auto"/>
          </w:tcPr>
          <w:p w14:paraId="1BDCB19E" w14:textId="77777777"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These modules provide information required for completion of the IDEA 618 data submissions and relevant Annual Performance Report (APR) indicators.</w:t>
            </w:r>
          </w:p>
        </w:tc>
      </w:tr>
    </w:tbl>
    <w:p w14:paraId="5B7C6047" w14:textId="77777777" w:rsidR="00531175" w:rsidRDefault="00531175"/>
    <w:p w14:paraId="3B3DCDEC" w14:textId="77777777" w:rsidR="00531175" w:rsidRDefault="00531175">
      <w:pPr>
        <w:spacing w:line="240" w:lineRule="auto"/>
      </w:pPr>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6"/>
        <w:gridCol w:w="6854"/>
      </w:tblGrid>
      <w:tr w:rsidR="00531175" w:rsidRPr="006A7F38" w14:paraId="65A2BE64" w14:textId="77777777" w:rsidTr="002D7C2D">
        <w:trPr>
          <w:trHeight w:val="432"/>
          <w:tblHeader/>
        </w:trPr>
        <w:tc>
          <w:tcPr>
            <w:tcW w:w="2506" w:type="dxa"/>
            <w:shd w:val="clear" w:color="auto" w:fill="118577"/>
            <w:vAlign w:val="center"/>
            <w:hideMark/>
          </w:tcPr>
          <w:p w14:paraId="38E629AD" w14:textId="77777777" w:rsidR="00531175" w:rsidRPr="00FE1886" w:rsidRDefault="00531175" w:rsidP="002D7C2D">
            <w:pPr>
              <w:rPr>
                <w:rFonts w:asciiTheme="minorHAnsi" w:hAnsiTheme="minorHAnsi" w:cstheme="minorHAnsi"/>
                <w:b/>
                <w:bCs/>
                <w:color w:val="FFFFFF" w:themeColor="background1"/>
                <w:sz w:val="21"/>
                <w:szCs w:val="21"/>
              </w:rPr>
            </w:pPr>
            <w:r w:rsidRPr="00FE1886">
              <w:rPr>
                <w:rFonts w:asciiTheme="minorHAnsi" w:hAnsiTheme="minorHAnsi" w:cstheme="minorHAnsi"/>
                <w:b/>
                <w:bCs/>
                <w:color w:val="FFFFFF" w:themeColor="background1"/>
                <w:sz w:val="21"/>
                <w:szCs w:val="21"/>
              </w:rPr>
              <w:t>Tool/Product</w:t>
            </w:r>
          </w:p>
        </w:tc>
        <w:tc>
          <w:tcPr>
            <w:tcW w:w="6854" w:type="dxa"/>
            <w:shd w:val="clear" w:color="auto" w:fill="118577"/>
            <w:vAlign w:val="center"/>
            <w:hideMark/>
          </w:tcPr>
          <w:p w14:paraId="70D99129" w14:textId="77777777" w:rsidR="00531175" w:rsidRPr="006A7F38" w:rsidRDefault="00531175" w:rsidP="002D7C2D">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Description</w:t>
            </w:r>
          </w:p>
        </w:tc>
      </w:tr>
      <w:tr w:rsidR="003F2219" w:rsidRPr="006A7F38" w14:paraId="79F9731C" w14:textId="77777777" w:rsidTr="00E05D02">
        <w:trPr>
          <w:trHeight w:val="20"/>
        </w:trPr>
        <w:tc>
          <w:tcPr>
            <w:tcW w:w="2506" w:type="dxa"/>
            <w:shd w:val="clear" w:color="auto" w:fill="auto"/>
            <w:noWrap/>
          </w:tcPr>
          <w:p w14:paraId="3D7F0631" w14:textId="6E042C69" w:rsidR="003F2219" w:rsidRPr="004402B2" w:rsidRDefault="000321D2" w:rsidP="00127A40">
            <w:pPr>
              <w:pStyle w:val="SL-FlLftSgl"/>
              <w:rPr>
                <w:rFonts w:asciiTheme="minorHAnsi" w:hAnsiTheme="minorHAnsi" w:cstheme="minorHAnsi"/>
                <w:i/>
                <w:sz w:val="20"/>
                <w:u w:val="single"/>
              </w:rPr>
            </w:pPr>
            <w:hyperlink r:id="rId17" w:history="1">
              <w:r w:rsidR="003F2219" w:rsidRPr="004402B2">
                <w:rPr>
                  <w:rStyle w:val="Hyperlink"/>
                  <w:rFonts w:asciiTheme="minorHAnsi" w:hAnsiTheme="minorHAnsi" w:cstheme="minorHAnsi"/>
                  <w:i/>
                  <w:color w:val="auto"/>
                  <w:sz w:val="20"/>
                </w:rPr>
                <w:t>Part C Exiting Toolkit</w:t>
              </w:r>
            </w:hyperlink>
          </w:p>
        </w:tc>
        <w:tc>
          <w:tcPr>
            <w:tcW w:w="6854" w:type="dxa"/>
            <w:shd w:val="clear" w:color="auto" w:fill="auto"/>
          </w:tcPr>
          <w:p w14:paraId="4D1D5958" w14:textId="546A3632"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This toolkit allows users to access five different downloadable forms that will assist in the documentation of their Part C Exiting Process and provides checklists they can use to support high-quality data. The toolkit also contains the Part C Exiting Counts app. The app is a great tool for understanding the 10 federal Part </w:t>
            </w:r>
            <w:r w:rsidRPr="004402B2">
              <w:rPr>
                <w:rFonts w:asciiTheme="minorHAnsi" w:hAnsiTheme="minorHAnsi" w:cstheme="minorHAnsi"/>
                <w:sz w:val="20"/>
              </w:rPr>
              <w:lastRenderedPageBreak/>
              <w:t>C Exiting categories. The toolkit also contains links to documents that use Part C Exiting data and to other related resources.</w:t>
            </w:r>
          </w:p>
        </w:tc>
      </w:tr>
      <w:tr w:rsidR="003F2219" w:rsidRPr="006A7F38" w14:paraId="60869489" w14:textId="77777777" w:rsidTr="00E05D02">
        <w:trPr>
          <w:trHeight w:val="20"/>
        </w:trPr>
        <w:tc>
          <w:tcPr>
            <w:tcW w:w="2506" w:type="dxa"/>
            <w:shd w:val="clear" w:color="auto" w:fill="auto"/>
            <w:noWrap/>
          </w:tcPr>
          <w:p w14:paraId="71C1F9D2" w14:textId="520E0727" w:rsidR="003F2219" w:rsidRPr="004402B2" w:rsidRDefault="000321D2" w:rsidP="00127A40">
            <w:pPr>
              <w:pStyle w:val="SL-FlLftSgl"/>
              <w:rPr>
                <w:rFonts w:asciiTheme="minorHAnsi" w:hAnsiTheme="minorHAnsi" w:cstheme="minorHAnsi"/>
                <w:i/>
                <w:sz w:val="20"/>
                <w:u w:val="single"/>
              </w:rPr>
            </w:pPr>
            <w:hyperlink r:id="rId18" w:history="1">
              <w:r w:rsidR="003F2219" w:rsidRPr="004402B2">
                <w:rPr>
                  <w:rStyle w:val="Hyperlink"/>
                  <w:rFonts w:asciiTheme="minorHAnsi" w:hAnsiTheme="minorHAnsi" w:cstheme="minorHAnsi"/>
                  <w:i/>
                  <w:color w:val="auto"/>
                  <w:sz w:val="20"/>
                </w:rPr>
                <w:t>Part C Exiting Counts</w:t>
              </w:r>
            </w:hyperlink>
          </w:p>
        </w:tc>
        <w:tc>
          <w:tcPr>
            <w:tcW w:w="6854" w:type="dxa"/>
            <w:shd w:val="clear" w:color="auto" w:fill="auto"/>
          </w:tcPr>
          <w:p w14:paraId="3999E8D9" w14:textId="10EB8300"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This tool assists states in reporting high-quality Part C Exiting data that are consistent with the </w:t>
            </w:r>
            <w:proofErr w:type="spellStart"/>
            <w:r w:rsidRPr="004402B2">
              <w:rPr>
                <w:rFonts w:asciiTheme="minorHAnsi" w:hAnsiTheme="minorHAnsi" w:cstheme="minorHAnsi"/>
                <w:i/>
                <w:sz w:val="20"/>
              </w:rPr>
              <w:t>EDFacts</w:t>
            </w:r>
            <w:proofErr w:type="spellEnd"/>
            <w:r w:rsidRPr="004402B2">
              <w:rPr>
                <w:rFonts w:asciiTheme="minorHAnsi" w:hAnsiTheme="minorHAnsi" w:cstheme="minorHAnsi"/>
                <w:i/>
                <w:sz w:val="20"/>
              </w:rPr>
              <w:t xml:space="preserve"> Metadata and Process System</w:t>
            </w:r>
            <w:r w:rsidRPr="004402B2">
              <w:rPr>
                <w:rFonts w:asciiTheme="minorHAnsi" w:hAnsiTheme="minorHAnsi" w:cstheme="minorHAnsi"/>
                <w:sz w:val="20"/>
              </w:rPr>
              <w:t xml:space="preserve"> (E</w:t>
            </w:r>
            <w:r w:rsidRPr="004402B2">
              <w:rPr>
                <w:rFonts w:asciiTheme="minorHAnsi" w:hAnsiTheme="minorHAnsi" w:cstheme="minorHAnsi"/>
                <w:i/>
                <w:sz w:val="20"/>
              </w:rPr>
              <w:t>MAPS</w:t>
            </w:r>
            <w:r w:rsidRPr="004402B2">
              <w:rPr>
                <w:rFonts w:asciiTheme="minorHAnsi" w:hAnsiTheme="minorHAnsi" w:cstheme="minorHAnsi"/>
                <w:sz w:val="20"/>
              </w:rPr>
              <w:t>). IDC's approach for this tool was based on multi-modal learning; therefore, the tool includes ways for users to test their knowledge, a glossary of terms, and a downloadable decision tree that will allow users to understand the relationship between the three Part C Exiting reasons and the 10 Part C Exiting categories.</w:t>
            </w:r>
          </w:p>
        </w:tc>
      </w:tr>
      <w:tr w:rsidR="000321D2" w:rsidRPr="000321D2" w14:paraId="7468E121" w14:textId="77777777" w:rsidTr="00E05D02">
        <w:trPr>
          <w:trHeight w:val="288"/>
        </w:trPr>
        <w:tc>
          <w:tcPr>
            <w:tcW w:w="2506" w:type="dxa"/>
            <w:shd w:val="clear" w:color="auto" w:fill="1CDEC7"/>
            <w:noWrap/>
            <w:vAlign w:val="center"/>
          </w:tcPr>
          <w:p w14:paraId="20A76145" w14:textId="77777777" w:rsidR="003F2219" w:rsidRPr="000321D2" w:rsidRDefault="003F2219"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System</w:t>
            </w:r>
          </w:p>
        </w:tc>
        <w:tc>
          <w:tcPr>
            <w:tcW w:w="6854" w:type="dxa"/>
            <w:shd w:val="clear" w:color="auto" w:fill="1CDEC7"/>
            <w:vAlign w:val="center"/>
          </w:tcPr>
          <w:p w14:paraId="504B50D5" w14:textId="77777777" w:rsidR="003F2219" w:rsidRPr="000321D2" w:rsidRDefault="003F2219" w:rsidP="00FE1886">
            <w:pPr>
              <w:pStyle w:val="SL-FlLftSgl"/>
              <w:rPr>
                <w:rFonts w:asciiTheme="minorHAnsi" w:hAnsiTheme="minorHAnsi" w:cstheme="minorHAnsi"/>
                <w:b/>
                <w:color w:val="000000" w:themeColor="text1"/>
                <w:sz w:val="22"/>
                <w:szCs w:val="22"/>
              </w:rPr>
            </w:pPr>
          </w:p>
        </w:tc>
      </w:tr>
      <w:tr w:rsidR="003F2219" w:rsidRPr="00C03956" w14:paraId="6C5DD5E1" w14:textId="77777777" w:rsidTr="00E05D02">
        <w:trPr>
          <w:trHeight w:val="20"/>
        </w:trPr>
        <w:tc>
          <w:tcPr>
            <w:tcW w:w="2506" w:type="dxa"/>
            <w:shd w:val="clear" w:color="auto" w:fill="auto"/>
            <w:noWrap/>
            <w:hideMark/>
          </w:tcPr>
          <w:p w14:paraId="7691A273" w14:textId="77777777" w:rsidR="003F2219" w:rsidRPr="004402B2" w:rsidRDefault="000321D2" w:rsidP="00127A40">
            <w:pPr>
              <w:pStyle w:val="SL-FlLftSgl"/>
              <w:rPr>
                <w:rFonts w:asciiTheme="minorHAnsi" w:hAnsiTheme="minorHAnsi" w:cstheme="minorHAnsi"/>
                <w:i/>
                <w:sz w:val="20"/>
                <w:u w:val="single"/>
              </w:rPr>
            </w:pPr>
            <w:hyperlink r:id="rId19" w:history="1">
              <w:r w:rsidR="003F2219" w:rsidRPr="004402B2">
                <w:rPr>
                  <w:rStyle w:val="Hyperlink"/>
                  <w:rFonts w:asciiTheme="minorHAnsi" w:hAnsiTheme="minorHAnsi" w:cstheme="minorHAnsi"/>
                  <w:i/>
                  <w:color w:val="auto"/>
                  <w:sz w:val="20"/>
                </w:rPr>
                <w:t>Part C IDEA Data Processes Toolkit</w:t>
              </w:r>
            </w:hyperlink>
          </w:p>
        </w:tc>
        <w:tc>
          <w:tcPr>
            <w:tcW w:w="6854" w:type="dxa"/>
            <w:shd w:val="clear" w:color="auto" w:fill="auto"/>
            <w:noWrap/>
            <w:hideMark/>
          </w:tcPr>
          <w:p w14:paraId="4C121288" w14:textId="3C032A82"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This toolkit documents the data processes for all 616 and 618 data collections to establish a well-managed process for data collection, validation, and submission.</w:t>
            </w:r>
          </w:p>
        </w:tc>
      </w:tr>
      <w:tr w:rsidR="003F2219" w:rsidRPr="00463914" w14:paraId="1935DAD9" w14:textId="77777777" w:rsidTr="00E05D02">
        <w:trPr>
          <w:trHeight w:val="20"/>
        </w:trPr>
        <w:tc>
          <w:tcPr>
            <w:tcW w:w="2506" w:type="dxa"/>
            <w:shd w:val="clear" w:color="auto" w:fill="auto"/>
            <w:noWrap/>
            <w:hideMark/>
          </w:tcPr>
          <w:p w14:paraId="66E2F6D9" w14:textId="77777777" w:rsidR="003F2219" w:rsidRPr="004402B2" w:rsidRDefault="000321D2" w:rsidP="00127A40">
            <w:pPr>
              <w:pStyle w:val="SL-FlLftSgl"/>
              <w:rPr>
                <w:rFonts w:asciiTheme="minorHAnsi" w:hAnsiTheme="minorHAnsi" w:cstheme="minorHAnsi"/>
                <w:i/>
                <w:sz w:val="20"/>
                <w:u w:val="single"/>
              </w:rPr>
            </w:pPr>
            <w:hyperlink r:id="rId20" w:history="1">
              <w:r w:rsidR="003F2219" w:rsidRPr="004402B2">
                <w:rPr>
                  <w:rStyle w:val="Hyperlink"/>
                  <w:rFonts w:asciiTheme="minorHAnsi" w:hAnsiTheme="minorHAnsi" w:cstheme="minorHAnsi"/>
                  <w:i/>
                  <w:color w:val="auto"/>
                  <w:sz w:val="20"/>
                </w:rPr>
                <w:t>IDEA Part C Confidentiality Checklist</w:t>
              </w:r>
            </w:hyperlink>
          </w:p>
        </w:tc>
        <w:tc>
          <w:tcPr>
            <w:tcW w:w="6854" w:type="dxa"/>
            <w:shd w:val="clear" w:color="auto" w:fill="auto"/>
            <w:hideMark/>
          </w:tcPr>
          <w:p w14:paraId="2C24C211" w14:textId="3D901651"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State agencies and local early intervention programs and service providers can use this tool to identify what actions, policies, and procedures may be needed to meet confidentiality provisions outlined in Part C of IDEA, 34 CFR Part 303.</w:t>
            </w:r>
          </w:p>
        </w:tc>
      </w:tr>
      <w:tr w:rsidR="003F2219" w:rsidRPr="006A7F38" w14:paraId="5AF81DB0" w14:textId="77777777" w:rsidTr="00E05D02">
        <w:trPr>
          <w:trHeight w:val="20"/>
        </w:trPr>
        <w:tc>
          <w:tcPr>
            <w:tcW w:w="2506" w:type="dxa"/>
            <w:shd w:val="clear" w:color="auto" w:fill="auto"/>
            <w:noWrap/>
            <w:hideMark/>
          </w:tcPr>
          <w:p w14:paraId="4219740C" w14:textId="77777777" w:rsidR="003F2219" w:rsidRPr="004402B2" w:rsidRDefault="000321D2" w:rsidP="00127A40">
            <w:pPr>
              <w:pStyle w:val="SL-FlLftSgl"/>
              <w:rPr>
                <w:rFonts w:asciiTheme="minorHAnsi" w:hAnsiTheme="minorHAnsi" w:cstheme="minorHAnsi"/>
                <w:i/>
                <w:sz w:val="20"/>
                <w:u w:val="single"/>
              </w:rPr>
            </w:pPr>
            <w:hyperlink r:id="rId21" w:history="1">
              <w:r w:rsidR="003F2219" w:rsidRPr="004402B2">
                <w:rPr>
                  <w:rFonts w:asciiTheme="minorHAnsi" w:hAnsiTheme="minorHAnsi" w:cstheme="minorHAnsi"/>
                  <w:i/>
                  <w:sz w:val="20"/>
                  <w:u w:val="single"/>
                </w:rPr>
                <w:t>The Importance of High-Quality Data and the Role of Business Rules</w:t>
              </w:r>
            </w:hyperlink>
          </w:p>
        </w:tc>
        <w:tc>
          <w:tcPr>
            <w:tcW w:w="6854" w:type="dxa"/>
            <w:shd w:val="clear" w:color="auto" w:fill="auto"/>
            <w:hideMark/>
          </w:tcPr>
          <w:p w14:paraId="6585D98F" w14:textId="44239EB6"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This instructional video provides a brief introduction to the concept of using business rules to promote and support the collection of high-quality data within state and local systems for IDEA Part B and </w:t>
            </w:r>
            <w:r w:rsidR="004B4929" w:rsidRPr="004402B2">
              <w:rPr>
                <w:rFonts w:asciiTheme="minorHAnsi" w:hAnsiTheme="minorHAnsi" w:cstheme="minorHAnsi"/>
                <w:sz w:val="20"/>
              </w:rPr>
              <w:t xml:space="preserve">Part </w:t>
            </w:r>
            <w:r w:rsidRPr="004402B2">
              <w:rPr>
                <w:rFonts w:asciiTheme="minorHAnsi" w:hAnsiTheme="minorHAnsi" w:cstheme="minorHAnsi"/>
                <w:sz w:val="20"/>
              </w:rPr>
              <w:t>C.</w:t>
            </w:r>
          </w:p>
        </w:tc>
      </w:tr>
      <w:tr w:rsidR="003F2219" w:rsidRPr="006A7F38" w14:paraId="4D955E0E" w14:textId="77777777" w:rsidTr="00E05D02">
        <w:trPr>
          <w:trHeight w:val="20"/>
        </w:trPr>
        <w:tc>
          <w:tcPr>
            <w:tcW w:w="2506" w:type="dxa"/>
            <w:shd w:val="clear" w:color="auto" w:fill="auto"/>
            <w:noWrap/>
            <w:hideMark/>
          </w:tcPr>
          <w:p w14:paraId="7B97C180" w14:textId="77777777" w:rsidR="003F2219" w:rsidRPr="004402B2" w:rsidRDefault="000321D2" w:rsidP="00127A40">
            <w:pPr>
              <w:pStyle w:val="SL-FlLftSgl"/>
              <w:rPr>
                <w:rFonts w:asciiTheme="minorHAnsi" w:hAnsiTheme="minorHAnsi" w:cstheme="minorHAnsi"/>
                <w:i/>
                <w:sz w:val="20"/>
                <w:u w:val="single"/>
              </w:rPr>
            </w:pPr>
            <w:hyperlink r:id="rId22" w:history="1">
              <w:r w:rsidR="003F2219" w:rsidRPr="004402B2">
                <w:rPr>
                  <w:rFonts w:asciiTheme="minorHAnsi" w:hAnsiTheme="minorHAnsi" w:cstheme="minorHAnsi"/>
                  <w:i/>
                  <w:sz w:val="20"/>
                  <w:u w:val="single"/>
                </w:rPr>
                <w:t>Working Principles of High-Quality IDEA Data</w:t>
              </w:r>
            </w:hyperlink>
          </w:p>
        </w:tc>
        <w:tc>
          <w:tcPr>
            <w:tcW w:w="6854" w:type="dxa"/>
            <w:shd w:val="clear" w:color="auto" w:fill="auto"/>
            <w:hideMark/>
          </w:tcPr>
          <w:p w14:paraId="07E7402B" w14:textId="0DA43592"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This interactive resource displays the different components of high-quality data. High-quality data are timely, accurate, complete, usable, accessible, and secure.</w:t>
            </w:r>
          </w:p>
        </w:tc>
      </w:tr>
      <w:tr w:rsidR="000321D2" w:rsidRPr="000321D2" w14:paraId="18B07842" w14:textId="77777777" w:rsidTr="00E05D02">
        <w:trPr>
          <w:trHeight w:val="20"/>
        </w:trPr>
        <w:tc>
          <w:tcPr>
            <w:tcW w:w="2506" w:type="dxa"/>
            <w:shd w:val="clear" w:color="auto" w:fill="1CDEC7"/>
            <w:vAlign w:val="center"/>
          </w:tcPr>
          <w:p w14:paraId="590FD841" w14:textId="77777777" w:rsidR="003F2219" w:rsidRPr="000321D2" w:rsidRDefault="003F2219"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SSIP</w:t>
            </w:r>
          </w:p>
        </w:tc>
        <w:tc>
          <w:tcPr>
            <w:tcW w:w="6854" w:type="dxa"/>
            <w:shd w:val="clear" w:color="auto" w:fill="1CDEC7"/>
            <w:vAlign w:val="center"/>
          </w:tcPr>
          <w:p w14:paraId="4FE82A6D" w14:textId="77777777" w:rsidR="003F2219" w:rsidRPr="000321D2" w:rsidRDefault="003F2219" w:rsidP="00FE1886">
            <w:pPr>
              <w:pStyle w:val="SL-FlLftSgl"/>
              <w:rPr>
                <w:rFonts w:asciiTheme="minorHAnsi" w:hAnsiTheme="minorHAnsi" w:cstheme="minorHAnsi"/>
                <w:b/>
                <w:color w:val="000000" w:themeColor="text1"/>
                <w:sz w:val="22"/>
                <w:szCs w:val="22"/>
              </w:rPr>
            </w:pPr>
          </w:p>
        </w:tc>
      </w:tr>
      <w:tr w:rsidR="003F2219" w:rsidRPr="006A7F38" w14:paraId="15AF753E" w14:textId="77777777" w:rsidTr="00E05D02">
        <w:trPr>
          <w:trHeight w:val="20"/>
        </w:trPr>
        <w:tc>
          <w:tcPr>
            <w:tcW w:w="2506" w:type="dxa"/>
            <w:shd w:val="clear" w:color="auto" w:fill="auto"/>
            <w:hideMark/>
          </w:tcPr>
          <w:p w14:paraId="45023B97" w14:textId="77777777" w:rsidR="003F2219" w:rsidRPr="004402B2" w:rsidRDefault="000321D2" w:rsidP="00127A40">
            <w:pPr>
              <w:pStyle w:val="SL-FlLftSgl"/>
              <w:rPr>
                <w:rFonts w:asciiTheme="minorHAnsi" w:hAnsiTheme="minorHAnsi" w:cstheme="minorHAnsi"/>
                <w:i/>
                <w:sz w:val="20"/>
                <w:u w:val="single"/>
              </w:rPr>
            </w:pPr>
            <w:hyperlink r:id="rId23" w:history="1">
              <w:r w:rsidR="003F2219" w:rsidRPr="004402B2">
                <w:rPr>
                  <w:rStyle w:val="Hyperlink"/>
                  <w:rFonts w:asciiTheme="minorHAnsi" w:hAnsiTheme="minorHAnsi" w:cstheme="minorHAnsi"/>
                  <w:i/>
                  <w:color w:val="auto"/>
                  <w:sz w:val="20"/>
                </w:rPr>
                <w:t>A Guide to SSIP Evaluation Planning</w:t>
              </w:r>
            </w:hyperlink>
          </w:p>
        </w:tc>
        <w:tc>
          <w:tcPr>
            <w:tcW w:w="6854" w:type="dxa"/>
            <w:shd w:val="clear" w:color="auto" w:fill="auto"/>
            <w:hideMark/>
          </w:tcPr>
          <w:p w14:paraId="01B4F1DE"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guide describes key steps for developing a well-thought-out plan for evaluating a State Systemic Improvement Plan (SSIP).</w:t>
            </w:r>
          </w:p>
        </w:tc>
      </w:tr>
      <w:tr w:rsidR="003F2219" w:rsidRPr="006A7F38" w14:paraId="643BE289" w14:textId="77777777" w:rsidTr="00E05D02">
        <w:trPr>
          <w:trHeight w:val="20"/>
        </w:trPr>
        <w:tc>
          <w:tcPr>
            <w:tcW w:w="2506" w:type="dxa"/>
            <w:shd w:val="clear" w:color="auto" w:fill="auto"/>
            <w:hideMark/>
          </w:tcPr>
          <w:p w14:paraId="073189B8" w14:textId="0779D4A6" w:rsidR="003F2219" w:rsidRPr="004402B2" w:rsidRDefault="000321D2" w:rsidP="00127A40">
            <w:pPr>
              <w:pStyle w:val="SL-FlLftSgl"/>
              <w:rPr>
                <w:rFonts w:asciiTheme="minorHAnsi" w:hAnsiTheme="minorHAnsi" w:cstheme="minorHAnsi"/>
                <w:i/>
                <w:sz w:val="20"/>
                <w:u w:val="single"/>
              </w:rPr>
            </w:pPr>
            <w:hyperlink r:id="rId24" w:history="1">
              <w:r w:rsidR="003F2219" w:rsidRPr="004402B2">
                <w:rPr>
                  <w:rStyle w:val="Hyperlink"/>
                  <w:rFonts w:asciiTheme="minorHAnsi" w:hAnsiTheme="minorHAnsi" w:cstheme="minorHAnsi"/>
                  <w:i/>
                  <w:color w:val="auto"/>
                  <w:sz w:val="20"/>
                </w:rPr>
                <w:t>Conside</w:t>
              </w:r>
              <w:r w:rsidR="001E6574" w:rsidRPr="004402B2">
                <w:rPr>
                  <w:rStyle w:val="Hyperlink"/>
                  <w:rFonts w:asciiTheme="minorHAnsi" w:hAnsiTheme="minorHAnsi" w:cstheme="minorHAnsi"/>
                  <w:i/>
                  <w:color w:val="auto"/>
                  <w:sz w:val="20"/>
                </w:rPr>
                <w:t>rations for Making Changes to SI</w:t>
              </w:r>
              <w:r w:rsidR="003F2219" w:rsidRPr="004402B2">
                <w:rPr>
                  <w:rStyle w:val="Hyperlink"/>
                  <w:rFonts w:asciiTheme="minorHAnsi" w:hAnsiTheme="minorHAnsi" w:cstheme="minorHAnsi"/>
                  <w:i/>
                  <w:color w:val="auto"/>
                  <w:sz w:val="20"/>
                </w:rPr>
                <w:t>MR Baseline and Targets</w:t>
              </w:r>
            </w:hyperlink>
          </w:p>
        </w:tc>
        <w:tc>
          <w:tcPr>
            <w:tcW w:w="6854" w:type="dxa"/>
            <w:shd w:val="clear" w:color="auto" w:fill="auto"/>
            <w:hideMark/>
          </w:tcPr>
          <w:p w14:paraId="127D192F"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white paper outlines factors for Part B and Part C state agencies to consider when revising State-Identified Measurable Result (SIMR) baselines or targets.</w:t>
            </w:r>
          </w:p>
        </w:tc>
      </w:tr>
      <w:tr w:rsidR="003F2219" w:rsidRPr="006A7F38" w14:paraId="15742DE9" w14:textId="77777777" w:rsidTr="00E05D02">
        <w:trPr>
          <w:trHeight w:val="20"/>
        </w:trPr>
        <w:tc>
          <w:tcPr>
            <w:tcW w:w="2506" w:type="dxa"/>
            <w:shd w:val="clear" w:color="auto" w:fill="auto"/>
            <w:hideMark/>
          </w:tcPr>
          <w:p w14:paraId="686E8007" w14:textId="77777777" w:rsidR="003F2219" w:rsidRPr="004402B2" w:rsidRDefault="000321D2" w:rsidP="00127A40">
            <w:pPr>
              <w:pStyle w:val="SL-FlLftSgl"/>
              <w:rPr>
                <w:rFonts w:asciiTheme="minorHAnsi" w:hAnsiTheme="minorHAnsi" w:cstheme="minorHAnsi"/>
                <w:i/>
                <w:sz w:val="20"/>
                <w:u w:val="single"/>
              </w:rPr>
            </w:pPr>
            <w:hyperlink r:id="rId25" w:history="1">
              <w:r w:rsidR="003F2219" w:rsidRPr="004402B2">
                <w:rPr>
                  <w:rStyle w:val="Hyperlink"/>
                  <w:rFonts w:asciiTheme="minorHAnsi" w:hAnsiTheme="minorHAnsi" w:cstheme="minorHAnsi"/>
                  <w:i/>
                  <w:color w:val="auto"/>
                  <w:sz w:val="20"/>
                </w:rPr>
                <w:t>Operationalizing Your SSIP Evaluation: A Self-Assessment Tool</w:t>
              </w:r>
            </w:hyperlink>
          </w:p>
        </w:tc>
        <w:tc>
          <w:tcPr>
            <w:tcW w:w="6854" w:type="dxa"/>
            <w:shd w:val="clear" w:color="auto" w:fill="auto"/>
            <w:hideMark/>
          </w:tcPr>
          <w:p w14:paraId="723279B6"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interactive self-assessment tool leads those within a state responsible for implementing the State Systemic Improvement Plan (SSIP) evaluation through the process of operationalizing their SSIP evaluation plan in tandem with implementation efforts.</w:t>
            </w:r>
          </w:p>
        </w:tc>
      </w:tr>
      <w:tr w:rsidR="003F2219" w:rsidRPr="006A7F38" w14:paraId="7E045FE7" w14:textId="77777777" w:rsidTr="00E05D02">
        <w:trPr>
          <w:trHeight w:val="20"/>
        </w:trPr>
        <w:tc>
          <w:tcPr>
            <w:tcW w:w="2506" w:type="dxa"/>
            <w:shd w:val="clear" w:color="auto" w:fill="auto"/>
            <w:hideMark/>
          </w:tcPr>
          <w:p w14:paraId="2512019D" w14:textId="099E9A8C" w:rsidR="003F2219" w:rsidRPr="004402B2" w:rsidRDefault="000321D2" w:rsidP="00127A40">
            <w:pPr>
              <w:pStyle w:val="SL-FlLftSgl"/>
              <w:rPr>
                <w:rFonts w:asciiTheme="minorHAnsi" w:hAnsiTheme="minorHAnsi" w:cstheme="minorHAnsi"/>
                <w:i/>
                <w:sz w:val="20"/>
                <w:u w:val="single"/>
              </w:rPr>
            </w:pPr>
            <w:hyperlink r:id="rId26" w:history="1">
              <w:r w:rsidR="003F2219" w:rsidRPr="004402B2">
                <w:rPr>
                  <w:rStyle w:val="Hyperlink"/>
                  <w:rFonts w:asciiTheme="minorHAnsi" w:hAnsiTheme="minorHAnsi" w:cstheme="minorHAnsi"/>
                  <w:i/>
                  <w:color w:val="auto"/>
                  <w:sz w:val="20"/>
                </w:rPr>
                <w:t>Using a Theory of Action to Develop Performance Indicators</w:t>
              </w:r>
              <w:r w:rsidR="001E6574" w:rsidRPr="004402B2">
                <w:rPr>
                  <w:rStyle w:val="Hyperlink"/>
                  <w:rFonts w:asciiTheme="minorHAnsi" w:hAnsiTheme="minorHAnsi" w:cstheme="minorHAnsi"/>
                  <w:i/>
                  <w:color w:val="auto"/>
                  <w:sz w:val="20"/>
                </w:rPr>
                <w:t xml:space="preserve"> to Measure Progress Toward a SI</w:t>
              </w:r>
              <w:r w:rsidR="003F2219" w:rsidRPr="004402B2">
                <w:rPr>
                  <w:rStyle w:val="Hyperlink"/>
                  <w:rFonts w:asciiTheme="minorHAnsi" w:hAnsiTheme="minorHAnsi" w:cstheme="minorHAnsi"/>
                  <w:i/>
                  <w:color w:val="auto"/>
                  <w:sz w:val="20"/>
                </w:rPr>
                <w:t>MR </w:t>
              </w:r>
            </w:hyperlink>
          </w:p>
        </w:tc>
        <w:tc>
          <w:tcPr>
            <w:tcW w:w="6854" w:type="dxa"/>
            <w:shd w:val="clear" w:color="auto" w:fill="auto"/>
            <w:hideMark/>
          </w:tcPr>
          <w:p w14:paraId="3ED49FD4"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white paper offers an approach for using a theory of action as an outline to develop the State Systemic Improvement Plan (SSIP) Phase II evaluation questions and plan that will guide the SSIP work in Phase III and beyond.</w:t>
            </w:r>
          </w:p>
        </w:tc>
      </w:tr>
      <w:tr w:rsidR="00E05D02" w:rsidRPr="006A7F38" w14:paraId="01DEE716" w14:textId="77777777" w:rsidTr="00E05D02">
        <w:trPr>
          <w:trHeight w:val="20"/>
        </w:trPr>
        <w:tc>
          <w:tcPr>
            <w:tcW w:w="2506" w:type="dxa"/>
            <w:shd w:val="clear" w:color="auto" w:fill="auto"/>
          </w:tcPr>
          <w:p w14:paraId="166E88B2" w14:textId="666E1C88" w:rsidR="00E05D02" w:rsidRPr="004402B2" w:rsidRDefault="000321D2" w:rsidP="00127A40">
            <w:pPr>
              <w:pStyle w:val="SL-FlLftSgl"/>
              <w:rPr>
                <w:u w:val="single"/>
              </w:rPr>
            </w:pPr>
            <w:hyperlink r:id="rId27" w:history="1">
              <w:r w:rsidR="00E05D02" w:rsidRPr="004402B2">
                <w:rPr>
                  <w:rStyle w:val="Hyperlink"/>
                  <w:rFonts w:asciiTheme="minorHAnsi" w:hAnsiTheme="minorHAnsi" w:cstheme="minorHAnsi"/>
                  <w:i/>
                  <w:color w:val="auto"/>
                  <w:sz w:val="20"/>
                </w:rPr>
                <w:t>Using Growth Models to Measure Child/Student Outcomes for State Systemic Improvement Plans</w:t>
              </w:r>
            </w:hyperlink>
          </w:p>
        </w:tc>
        <w:tc>
          <w:tcPr>
            <w:tcW w:w="6854" w:type="dxa"/>
            <w:shd w:val="clear" w:color="auto" w:fill="auto"/>
          </w:tcPr>
          <w:p w14:paraId="297ED5DA" w14:textId="7EE1EE92" w:rsidR="00E05D02" w:rsidRPr="000321D2" w:rsidRDefault="00E05D02"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white paper, with a focus on special education populations, provides state and local education personnel with an overview of issues to consider with growth models, a look at models currently in use, and a description of common models and a scenario of their potential use within the State Systemic Improvement Plan (SSIP) process.</w:t>
            </w:r>
          </w:p>
        </w:tc>
      </w:tr>
    </w:tbl>
    <w:p w14:paraId="6906B376" w14:textId="77777777" w:rsidR="00A668DB" w:rsidRPr="00A668DB" w:rsidRDefault="00A668DB" w:rsidP="00A668DB"/>
    <w:sectPr w:rsidR="00A668DB" w:rsidRPr="00A668DB" w:rsidSect="005E53FF">
      <w:footerReference w:type="default" r:id="rId28"/>
      <w:headerReference w:type="first" r:id="rId29"/>
      <w:footerReference w:type="first" r:id="rId30"/>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9DAF" w14:textId="77777777" w:rsidR="000E5C05" w:rsidRDefault="000E5C05">
      <w:pPr>
        <w:spacing w:line="240" w:lineRule="auto"/>
      </w:pPr>
      <w:r>
        <w:separator/>
      </w:r>
    </w:p>
  </w:endnote>
  <w:endnote w:type="continuationSeparator" w:id="0">
    <w:p w14:paraId="4B8811F4" w14:textId="77777777" w:rsidR="000E5C05" w:rsidRDefault="000E5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2C65" w14:textId="3570A4A1" w:rsidR="007E6C49" w:rsidRPr="006A7F38" w:rsidRDefault="000321D2" w:rsidP="007E6C49">
    <w:pPr>
      <w:pStyle w:val="Footer"/>
      <w:tabs>
        <w:tab w:val="right" w:pos="9360"/>
      </w:tabs>
      <w:spacing w:line="240" w:lineRule="auto"/>
      <w:rPr>
        <w:rFonts w:asciiTheme="minorHAnsi" w:eastAsiaTheme="minorHAnsi" w:hAnsiTheme="minorHAnsi" w:cstheme="minorBidi"/>
        <w:b/>
        <w:color w:val="4D4D4F"/>
        <w:sz w:val="16"/>
        <w:szCs w:val="16"/>
      </w:rPr>
    </w:pPr>
    <w:hyperlink r:id="rId1" w:tooltip="IDC IDEA Data web site" w:history="1">
      <w:r w:rsidR="007E6C49" w:rsidRPr="006A7F38">
        <w:rPr>
          <w:rFonts w:asciiTheme="minorHAnsi" w:eastAsiaTheme="minorHAnsi" w:hAnsiTheme="minorHAnsi" w:cstheme="minorBidi"/>
          <w:b/>
          <w:color w:val="4D4D4F"/>
          <w:sz w:val="16"/>
          <w:szCs w:val="16"/>
        </w:rPr>
        <w:t>www.ideadata.org</w:t>
      </w:r>
    </w:hyperlink>
    <w:r w:rsidR="007E6C49" w:rsidRPr="006A7F38">
      <w:rPr>
        <w:rFonts w:asciiTheme="minorHAnsi" w:eastAsiaTheme="minorHAnsi" w:hAnsiTheme="minorHAnsi" w:cstheme="minorBidi"/>
        <w:b/>
        <w:color w:val="4D4D4F"/>
        <w:sz w:val="16"/>
        <w:szCs w:val="16"/>
      </w:rPr>
      <w:tab/>
    </w:r>
    <w:r w:rsidR="007E6C49" w:rsidRPr="006A7F38">
      <w:rPr>
        <w:rFonts w:asciiTheme="minorHAnsi" w:eastAsiaTheme="minorHAnsi" w:hAnsiTheme="minorHAnsi" w:cstheme="minorBidi"/>
        <w:b/>
        <w:color w:val="4D4D4F"/>
        <w:sz w:val="16"/>
        <w:szCs w:val="16"/>
      </w:rPr>
      <w:fldChar w:fldCharType="begin"/>
    </w:r>
    <w:r w:rsidR="007E6C49" w:rsidRPr="006A7F38">
      <w:rPr>
        <w:rFonts w:asciiTheme="minorHAnsi" w:eastAsiaTheme="minorHAnsi" w:hAnsiTheme="minorHAnsi" w:cstheme="minorBidi"/>
        <w:b/>
        <w:color w:val="4D4D4F"/>
        <w:sz w:val="16"/>
        <w:szCs w:val="16"/>
      </w:rPr>
      <w:instrText xml:space="preserve"> PAGE   \* MERGEFORMAT </w:instrText>
    </w:r>
    <w:r w:rsidR="007E6C49" w:rsidRPr="006A7F38">
      <w:rPr>
        <w:rFonts w:asciiTheme="minorHAnsi" w:eastAsiaTheme="minorHAnsi" w:hAnsiTheme="minorHAnsi" w:cstheme="minorBidi"/>
        <w:b/>
        <w:color w:val="4D4D4F"/>
        <w:sz w:val="16"/>
        <w:szCs w:val="16"/>
      </w:rPr>
      <w:fldChar w:fldCharType="separate"/>
    </w:r>
    <w:r>
      <w:rPr>
        <w:rFonts w:asciiTheme="minorHAnsi" w:eastAsiaTheme="minorHAnsi" w:hAnsiTheme="minorHAnsi" w:cstheme="minorBidi"/>
        <w:b/>
        <w:noProof/>
        <w:color w:val="4D4D4F"/>
        <w:sz w:val="16"/>
        <w:szCs w:val="16"/>
      </w:rPr>
      <w:t>2</w:t>
    </w:r>
    <w:r w:rsidR="007E6C49" w:rsidRPr="006A7F38">
      <w:rPr>
        <w:rFonts w:asciiTheme="minorHAnsi" w:eastAsiaTheme="minorHAnsi" w:hAnsiTheme="minorHAnsi" w:cstheme="minorBidi"/>
        <w:b/>
        <w:color w:val="4D4D4F"/>
        <w:sz w:val="16"/>
        <w:szCs w:val="16"/>
      </w:rPr>
      <w:fldChar w:fldCharType="end"/>
    </w:r>
    <w:r w:rsidR="007E6C49">
      <w:rPr>
        <w:rFonts w:asciiTheme="minorHAnsi" w:eastAsiaTheme="minorHAnsi" w:hAnsiTheme="minorHAnsi" w:cstheme="minorBidi"/>
        <w:b/>
        <w:color w:val="4D4D4F"/>
        <w:sz w:val="16"/>
        <w:szCs w:val="16"/>
      </w:rPr>
      <w:t xml:space="preserve"> – May 2018</w:t>
    </w:r>
  </w:p>
  <w:p w14:paraId="442E0FFA" w14:textId="5931A419" w:rsidR="006A7F38" w:rsidRPr="007E6C49" w:rsidRDefault="006A7F38" w:rsidP="007E6C49">
    <w:pPr>
      <w:pStyle w:val="Footer"/>
      <w:rPr>
        <w:rFonts w:eastAsia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85A5" w14:textId="0BAB57ED" w:rsidR="006A7F38" w:rsidRPr="006A7F38" w:rsidRDefault="000321D2" w:rsidP="00A61FE5">
    <w:pPr>
      <w:pStyle w:val="Footer"/>
      <w:tabs>
        <w:tab w:val="right" w:pos="9360"/>
      </w:tabs>
      <w:spacing w:line="240" w:lineRule="auto"/>
      <w:rPr>
        <w:rFonts w:asciiTheme="minorHAnsi" w:eastAsiaTheme="minorHAnsi" w:hAnsiTheme="minorHAnsi" w:cstheme="minorBidi"/>
        <w:b/>
        <w:color w:val="4D4D4F"/>
        <w:sz w:val="16"/>
        <w:szCs w:val="16"/>
      </w:rPr>
    </w:pPr>
    <w:hyperlink r:id="rId1" w:tooltip="IDC IDEA Data web site" w:history="1">
      <w:r w:rsidR="006A7F38" w:rsidRPr="006A7F38">
        <w:rPr>
          <w:rFonts w:asciiTheme="minorHAnsi" w:eastAsiaTheme="minorHAnsi" w:hAnsiTheme="minorHAnsi" w:cstheme="minorBidi"/>
          <w:b/>
          <w:color w:val="4D4D4F"/>
          <w:sz w:val="16"/>
          <w:szCs w:val="16"/>
        </w:rPr>
        <w:t>www.ideadata.org</w:t>
      </w:r>
    </w:hyperlink>
    <w:r w:rsidR="006A7F38" w:rsidRPr="006A7F38">
      <w:rPr>
        <w:rFonts w:asciiTheme="minorHAnsi" w:eastAsiaTheme="minorHAnsi" w:hAnsiTheme="minorHAnsi" w:cstheme="minorBidi"/>
        <w:b/>
        <w:color w:val="4D4D4F"/>
        <w:sz w:val="16"/>
        <w:szCs w:val="16"/>
      </w:rPr>
      <w:tab/>
    </w:r>
    <w:r w:rsidR="006A7F38" w:rsidRPr="006A7F38">
      <w:rPr>
        <w:rFonts w:asciiTheme="minorHAnsi" w:eastAsiaTheme="minorHAnsi" w:hAnsiTheme="minorHAnsi" w:cstheme="minorBidi"/>
        <w:b/>
        <w:color w:val="4D4D4F"/>
        <w:sz w:val="16"/>
        <w:szCs w:val="16"/>
      </w:rPr>
      <w:fldChar w:fldCharType="begin"/>
    </w:r>
    <w:r w:rsidR="006A7F38" w:rsidRPr="006A7F38">
      <w:rPr>
        <w:rFonts w:asciiTheme="minorHAnsi" w:eastAsiaTheme="minorHAnsi" w:hAnsiTheme="minorHAnsi" w:cstheme="minorBidi"/>
        <w:b/>
        <w:color w:val="4D4D4F"/>
        <w:sz w:val="16"/>
        <w:szCs w:val="16"/>
      </w:rPr>
      <w:instrText xml:space="preserve"> PAGE   \* MERGEFORMAT </w:instrText>
    </w:r>
    <w:r w:rsidR="006A7F38" w:rsidRPr="006A7F38">
      <w:rPr>
        <w:rFonts w:asciiTheme="minorHAnsi" w:eastAsiaTheme="minorHAnsi" w:hAnsiTheme="minorHAnsi" w:cstheme="minorBidi"/>
        <w:b/>
        <w:color w:val="4D4D4F"/>
        <w:sz w:val="16"/>
        <w:szCs w:val="16"/>
      </w:rPr>
      <w:fldChar w:fldCharType="separate"/>
    </w:r>
    <w:r>
      <w:rPr>
        <w:rFonts w:asciiTheme="minorHAnsi" w:eastAsiaTheme="minorHAnsi" w:hAnsiTheme="minorHAnsi" w:cstheme="minorBidi"/>
        <w:b/>
        <w:noProof/>
        <w:color w:val="4D4D4F"/>
        <w:sz w:val="16"/>
        <w:szCs w:val="16"/>
      </w:rPr>
      <w:t>1</w:t>
    </w:r>
    <w:r w:rsidR="006A7F38" w:rsidRPr="006A7F38">
      <w:rPr>
        <w:rFonts w:asciiTheme="minorHAnsi" w:eastAsiaTheme="minorHAnsi" w:hAnsiTheme="minorHAnsi" w:cstheme="minorBidi"/>
        <w:b/>
        <w:color w:val="4D4D4F"/>
        <w:sz w:val="16"/>
        <w:szCs w:val="16"/>
      </w:rPr>
      <w:fldChar w:fldCharType="end"/>
    </w:r>
    <w:r w:rsidR="00A61FE5">
      <w:rPr>
        <w:rFonts w:asciiTheme="minorHAnsi" w:eastAsiaTheme="minorHAnsi" w:hAnsiTheme="minorHAnsi" w:cstheme="minorBidi"/>
        <w:b/>
        <w:color w:val="4D4D4F"/>
        <w:sz w:val="16"/>
        <w:szCs w:val="16"/>
      </w:rPr>
      <w:t xml:space="preserve"> –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C51E" w14:textId="77777777" w:rsidR="000E5C05" w:rsidRDefault="000E5C05">
      <w:pPr>
        <w:spacing w:line="240" w:lineRule="auto"/>
      </w:pPr>
      <w:r>
        <w:separator/>
      </w:r>
    </w:p>
  </w:footnote>
  <w:footnote w:type="continuationSeparator" w:id="0">
    <w:p w14:paraId="657D353B" w14:textId="77777777" w:rsidR="000E5C05" w:rsidRDefault="000E5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DAD9" w14:textId="6B7A8CCA" w:rsidR="006A7F38" w:rsidRDefault="00C8771A" w:rsidP="006A7F38">
    <w:pPr>
      <w:pStyle w:val="Header"/>
      <w:spacing w:after="720"/>
    </w:pPr>
    <w:r w:rsidRPr="001453F9">
      <w:rPr>
        <w:rFonts w:ascii="Calibri" w:eastAsia="Calibri" w:hAnsi="Calibri" w:cs="Calibri"/>
        <w:noProof/>
      </w:rPr>
      <w:drawing>
        <wp:inline distT="0" distB="0" distL="0" distR="0" wp14:anchorId="4F9BCEBF" wp14:editId="1E9BC38A">
          <wp:extent cx="2309015" cy="590930"/>
          <wp:effectExtent l="0" t="0" r="0" b="0"/>
          <wp:docPr id="1"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015" cy="5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38"/>
    <w:rsid w:val="000144C7"/>
    <w:rsid w:val="00030D86"/>
    <w:rsid w:val="000321D2"/>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E5C05"/>
    <w:rsid w:val="000F4CFB"/>
    <w:rsid w:val="00101C84"/>
    <w:rsid w:val="00114C6E"/>
    <w:rsid w:val="00120A6B"/>
    <w:rsid w:val="00121A4A"/>
    <w:rsid w:val="00127A40"/>
    <w:rsid w:val="00134EFB"/>
    <w:rsid w:val="001425B5"/>
    <w:rsid w:val="00147D20"/>
    <w:rsid w:val="00152B01"/>
    <w:rsid w:val="00156208"/>
    <w:rsid w:val="001659AC"/>
    <w:rsid w:val="001768BA"/>
    <w:rsid w:val="00184A10"/>
    <w:rsid w:val="00185546"/>
    <w:rsid w:val="001A10A2"/>
    <w:rsid w:val="001A3B04"/>
    <w:rsid w:val="001B097C"/>
    <w:rsid w:val="001B6AA1"/>
    <w:rsid w:val="001C69DD"/>
    <w:rsid w:val="001D0187"/>
    <w:rsid w:val="001D1F70"/>
    <w:rsid w:val="001E3800"/>
    <w:rsid w:val="001E5F24"/>
    <w:rsid w:val="001E6079"/>
    <w:rsid w:val="001E6574"/>
    <w:rsid w:val="00203CA4"/>
    <w:rsid w:val="00203EFB"/>
    <w:rsid w:val="0020415E"/>
    <w:rsid w:val="0020526D"/>
    <w:rsid w:val="00212FFB"/>
    <w:rsid w:val="002143C2"/>
    <w:rsid w:val="00214B46"/>
    <w:rsid w:val="00246FD1"/>
    <w:rsid w:val="00266495"/>
    <w:rsid w:val="00267642"/>
    <w:rsid w:val="002747D9"/>
    <w:rsid w:val="00275D3E"/>
    <w:rsid w:val="00282312"/>
    <w:rsid w:val="002851B1"/>
    <w:rsid w:val="002A6821"/>
    <w:rsid w:val="002D1420"/>
    <w:rsid w:val="002D3E8C"/>
    <w:rsid w:val="002E5F4A"/>
    <w:rsid w:val="002F0F19"/>
    <w:rsid w:val="002F483C"/>
    <w:rsid w:val="002F5259"/>
    <w:rsid w:val="00302E5C"/>
    <w:rsid w:val="00304009"/>
    <w:rsid w:val="00315646"/>
    <w:rsid w:val="00323FC9"/>
    <w:rsid w:val="003254F9"/>
    <w:rsid w:val="00332F8D"/>
    <w:rsid w:val="00366FAE"/>
    <w:rsid w:val="00375847"/>
    <w:rsid w:val="00383C29"/>
    <w:rsid w:val="00397B0B"/>
    <w:rsid w:val="003A33F2"/>
    <w:rsid w:val="003A4615"/>
    <w:rsid w:val="003A522C"/>
    <w:rsid w:val="003A6AB6"/>
    <w:rsid w:val="003B58A6"/>
    <w:rsid w:val="003C3199"/>
    <w:rsid w:val="003D69CA"/>
    <w:rsid w:val="003E1860"/>
    <w:rsid w:val="003F2219"/>
    <w:rsid w:val="00403870"/>
    <w:rsid w:val="004144E2"/>
    <w:rsid w:val="00414B36"/>
    <w:rsid w:val="004153AF"/>
    <w:rsid w:val="00417779"/>
    <w:rsid w:val="00421E98"/>
    <w:rsid w:val="004273F4"/>
    <w:rsid w:val="004402B2"/>
    <w:rsid w:val="00463914"/>
    <w:rsid w:val="0047041E"/>
    <w:rsid w:val="004762B0"/>
    <w:rsid w:val="00481DB2"/>
    <w:rsid w:val="00493E51"/>
    <w:rsid w:val="004B3AEF"/>
    <w:rsid w:val="004B4929"/>
    <w:rsid w:val="004C029B"/>
    <w:rsid w:val="004C5B9B"/>
    <w:rsid w:val="004D0D4C"/>
    <w:rsid w:val="004D3719"/>
    <w:rsid w:val="004E7AC1"/>
    <w:rsid w:val="004F094A"/>
    <w:rsid w:val="00517BD9"/>
    <w:rsid w:val="00530479"/>
    <w:rsid w:val="00531175"/>
    <w:rsid w:val="005444F4"/>
    <w:rsid w:val="00547666"/>
    <w:rsid w:val="005547B9"/>
    <w:rsid w:val="00573E75"/>
    <w:rsid w:val="00575C11"/>
    <w:rsid w:val="00580B23"/>
    <w:rsid w:val="00593313"/>
    <w:rsid w:val="00596C37"/>
    <w:rsid w:val="005B7031"/>
    <w:rsid w:val="005D1174"/>
    <w:rsid w:val="005D46D8"/>
    <w:rsid w:val="005D5BBC"/>
    <w:rsid w:val="005E3AA1"/>
    <w:rsid w:val="005E53FF"/>
    <w:rsid w:val="005E7FF9"/>
    <w:rsid w:val="005F33C9"/>
    <w:rsid w:val="005F5509"/>
    <w:rsid w:val="00614494"/>
    <w:rsid w:val="006313A0"/>
    <w:rsid w:val="00631A26"/>
    <w:rsid w:val="006347E1"/>
    <w:rsid w:val="00644471"/>
    <w:rsid w:val="00651022"/>
    <w:rsid w:val="00656C79"/>
    <w:rsid w:val="006646B2"/>
    <w:rsid w:val="0067191A"/>
    <w:rsid w:val="00672E8F"/>
    <w:rsid w:val="006756A3"/>
    <w:rsid w:val="00676ED7"/>
    <w:rsid w:val="0068253C"/>
    <w:rsid w:val="00683296"/>
    <w:rsid w:val="0068381B"/>
    <w:rsid w:val="00683820"/>
    <w:rsid w:val="006849A8"/>
    <w:rsid w:val="006901D7"/>
    <w:rsid w:val="006A0637"/>
    <w:rsid w:val="006A238C"/>
    <w:rsid w:val="006A46F6"/>
    <w:rsid w:val="006A7F38"/>
    <w:rsid w:val="006D735C"/>
    <w:rsid w:val="006E775D"/>
    <w:rsid w:val="0070039E"/>
    <w:rsid w:val="007035CD"/>
    <w:rsid w:val="00705A09"/>
    <w:rsid w:val="00707A44"/>
    <w:rsid w:val="00713006"/>
    <w:rsid w:val="00721588"/>
    <w:rsid w:val="0072337A"/>
    <w:rsid w:val="007304BD"/>
    <w:rsid w:val="007317D4"/>
    <w:rsid w:val="00731A44"/>
    <w:rsid w:val="00741FAB"/>
    <w:rsid w:val="0074389B"/>
    <w:rsid w:val="00751EFF"/>
    <w:rsid w:val="007552BB"/>
    <w:rsid w:val="00770E81"/>
    <w:rsid w:val="00774268"/>
    <w:rsid w:val="0077775D"/>
    <w:rsid w:val="00795760"/>
    <w:rsid w:val="007A4BF5"/>
    <w:rsid w:val="007A76FF"/>
    <w:rsid w:val="007A7CB3"/>
    <w:rsid w:val="007C0946"/>
    <w:rsid w:val="007C2D80"/>
    <w:rsid w:val="007C423B"/>
    <w:rsid w:val="007E6C49"/>
    <w:rsid w:val="00820C97"/>
    <w:rsid w:val="008478CF"/>
    <w:rsid w:val="00850A8B"/>
    <w:rsid w:val="00853851"/>
    <w:rsid w:val="008562F2"/>
    <w:rsid w:val="0086324B"/>
    <w:rsid w:val="008750B5"/>
    <w:rsid w:val="0088021E"/>
    <w:rsid w:val="008874B0"/>
    <w:rsid w:val="00887EC8"/>
    <w:rsid w:val="00894610"/>
    <w:rsid w:val="00895E95"/>
    <w:rsid w:val="008B1E9C"/>
    <w:rsid w:val="008B577C"/>
    <w:rsid w:val="008B7707"/>
    <w:rsid w:val="008D3F3F"/>
    <w:rsid w:val="008D45A5"/>
    <w:rsid w:val="008E50BA"/>
    <w:rsid w:val="008F3FBB"/>
    <w:rsid w:val="00923737"/>
    <w:rsid w:val="00923C66"/>
    <w:rsid w:val="0092602F"/>
    <w:rsid w:val="009355F7"/>
    <w:rsid w:val="00940319"/>
    <w:rsid w:val="00950A60"/>
    <w:rsid w:val="0095362B"/>
    <w:rsid w:val="0097142D"/>
    <w:rsid w:val="009871D3"/>
    <w:rsid w:val="00992616"/>
    <w:rsid w:val="00992641"/>
    <w:rsid w:val="009943A4"/>
    <w:rsid w:val="009D254B"/>
    <w:rsid w:val="009E65D1"/>
    <w:rsid w:val="009F4D28"/>
    <w:rsid w:val="00A078CC"/>
    <w:rsid w:val="00A15A6F"/>
    <w:rsid w:val="00A17BA5"/>
    <w:rsid w:val="00A259C8"/>
    <w:rsid w:val="00A26E08"/>
    <w:rsid w:val="00A44935"/>
    <w:rsid w:val="00A5064E"/>
    <w:rsid w:val="00A61FE5"/>
    <w:rsid w:val="00A668DB"/>
    <w:rsid w:val="00A755BD"/>
    <w:rsid w:val="00A75648"/>
    <w:rsid w:val="00A77D80"/>
    <w:rsid w:val="00A80085"/>
    <w:rsid w:val="00A80C12"/>
    <w:rsid w:val="00A877F4"/>
    <w:rsid w:val="00A9104B"/>
    <w:rsid w:val="00AB0899"/>
    <w:rsid w:val="00AC64BC"/>
    <w:rsid w:val="00AD5980"/>
    <w:rsid w:val="00AF1251"/>
    <w:rsid w:val="00AF3094"/>
    <w:rsid w:val="00B06CAC"/>
    <w:rsid w:val="00B118D4"/>
    <w:rsid w:val="00B11E90"/>
    <w:rsid w:val="00B163F9"/>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C02332"/>
    <w:rsid w:val="00C03956"/>
    <w:rsid w:val="00C06140"/>
    <w:rsid w:val="00C07120"/>
    <w:rsid w:val="00C14B4C"/>
    <w:rsid w:val="00C16990"/>
    <w:rsid w:val="00C23317"/>
    <w:rsid w:val="00C24FE8"/>
    <w:rsid w:val="00C274BD"/>
    <w:rsid w:val="00C31396"/>
    <w:rsid w:val="00C41ADD"/>
    <w:rsid w:val="00C44186"/>
    <w:rsid w:val="00C50612"/>
    <w:rsid w:val="00C618E3"/>
    <w:rsid w:val="00C61ED2"/>
    <w:rsid w:val="00C63DBE"/>
    <w:rsid w:val="00C66B56"/>
    <w:rsid w:val="00C81152"/>
    <w:rsid w:val="00C8771A"/>
    <w:rsid w:val="00C902B4"/>
    <w:rsid w:val="00C9296E"/>
    <w:rsid w:val="00C9473F"/>
    <w:rsid w:val="00CB6421"/>
    <w:rsid w:val="00CD162D"/>
    <w:rsid w:val="00CD70C0"/>
    <w:rsid w:val="00CE6820"/>
    <w:rsid w:val="00CF2F50"/>
    <w:rsid w:val="00D01E76"/>
    <w:rsid w:val="00D026CE"/>
    <w:rsid w:val="00D256B0"/>
    <w:rsid w:val="00D302BC"/>
    <w:rsid w:val="00D50CD2"/>
    <w:rsid w:val="00D53987"/>
    <w:rsid w:val="00D564BE"/>
    <w:rsid w:val="00D60510"/>
    <w:rsid w:val="00D63563"/>
    <w:rsid w:val="00D9037D"/>
    <w:rsid w:val="00DA1B4A"/>
    <w:rsid w:val="00DB354E"/>
    <w:rsid w:val="00DB4B6E"/>
    <w:rsid w:val="00DD4E06"/>
    <w:rsid w:val="00DE658E"/>
    <w:rsid w:val="00DF435E"/>
    <w:rsid w:val="00E05D02"/>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12DD7"/>
    <w:rsid w:val="00F47808"/>
    <w:rsid w:val="00F54A25"/>
    <w:rsid w:val="00F64A20"/>
    <w:rsid w:val="00F66D8D"/>
    <w:rsid w:val="00F72113"/>
    <w:rsid w:val="00F7603A"/>
    <w:rsid w:val="00FB2FBC"/>
    <w:rsid w:val="00FB6ACF"/>
    <w:rsid w:val="00FE1886"/>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55234F"/>
  <w15:chartTrackingRefBased/>
  <w15:docId w15:val="{8ED58AB6-06CE-41F0-9595-2F9D8A9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styleId="Hyperlink">
    <w:name w:val="Hyperlink"/>
    <w:basedOn w:val="DefaultParagraphFont"/>
    <w:uiPriority w:val="99"/>
    <w:unhideWhenUsed/>
    <w:rsid w:val="006A7F38"/>
    <w:rPr>
      <w:color w:val="0563C1"/>
      <w:u w:val="single"/>
    </w:rPr>
  </w:style>
  <w:style w:type="character" w:customStyle="1" w:styleId="Heading1Char">
    <w:name w:val="Heading 1 Char"/>
    <w:aliases w:val="H1-Chap. Head Char"/>
    <w:basedOn w:val="DefaultParagraphFont"/>
    <w:link w:val="Heading1"/>
    <w:rsid w:val="006A7F38"/>
    <w:rPr>
      <w:rFonts w:ascii="Franklin Gothic Medium" w:hAnsi="Franklin Gothic Medium"/>
      <w:b/>
      <w:color w:val="324162"/>
      <w:sz w:val="40"/>
    </w:rPr>
  </w:style>
  <w:style w:type="character" w:customStyle="1" w:styleId="FooterChar">
    <w:name w:val="Footer Char"/>
    <w:basedOn w:val="DefaultParagraphFont"/>
    <w:link w:val="Footer"/>
    <w:rsid w:val="006A7F38"/>
    <w:rPr>
      <w:rFonts w:ascii="Garamond" w:hAnsi="Garamond"/>
      <w:sz w:val="24"/>
    </w:rPr>
  </w:style>
  <w:style w:type="character" w:styleId="FollowedHyperlink">
    <w:name w:val="FollowedHyperlink"/>
    <w:basedOn w:val="DefaultParagraphFont"/>
    <w:uiPriority w:val="99"/>
    <w:semiHidden/>
    <w:unhideWhenUsed/>
    <w:rsid w:val="00751EFF"/>
    <w:rPr>
      <w:color w:val="800080" w:themeColor="followedHyperlink"/>
      <w:u w:val="single"/>
    </w:rPr>
  </w:style>
  <w:style w:type="character" w:styleId="CommentReference">
    <w:name w:val="annotation reference"/>
    <w:basedOn w:val="DefaultParagraphFont"/>
    <w:uiPriority w:val="99"/>
    <w:semiHidden/>
    <w:unhideWhenUsed/>
    <w:rsid w:val="008E50BA"/>
    <w:rPr>
      <w:sz w:val="16"/>
      <w:szCs w:val="16"/>
    </w:rPr>
  </w:style>
  <w:style w:type="paragraph" w:styleId="CommentText">
    <w:name w:val="annotation text"/>
    <w:basedOn w:val="Normal"/>
    <w:link w:val="CommentTextChar"/>
    <w:uiPriority w:val="99"/>
    <w:semiHidden/>
    <w:unhideWhenUsed/>
    <w:rsid w:val="008E50BA"/>
    <w:pPr>
      <w:spacing w:line="240" w:lineRule="auto"/>
    </w:pPr>
    <w:rPr>
      <w:sz w:val="20"/>
    </w:rPr>
  </w:style>
  <w:style w:type="character" w:customStyle="1" w:styleId="CommentTextChar">
    <w:name w:val="Comment Text Char"/>
    <w:basedOn w:val="DefaultParagraphFont"/>
    <w:link w:val="CommentText"/>
    <w:uiPriority w:val="99"/>
    <w:semiHidden/>
    <w:rsid w:val="008E50BA"/>
    <w:rPr>
      <w:rFonts w:ascii="Garamond" w:hAnsi="Garamond"/>
    </w:rPr>
  </w:style>
  <w:style w:type="paragraph" w:styleId="CommentSubject">
    <w:name w:val="annotation subject"/>
    <w:basedOn w:val="CommentText"/>
    <w:next w:val="CommentText"/>
    <w:link w:val="CommentSubjectChar"/>
    <w:uiPriority w:val="99"/>
    <w:semiHidden/>
    <w:unhideWhenUsed/>
    <w:rsid w:val="008E50BA"/>
    <w:rPr>
      <w:b/>
      <w:bCs/>
    </w:rPr>
  </w:style>
  <w:style w:type="character" w:customStyle="1" w:styleId="CommentSubjectChar">
    <w:name w:val="Comment Subject Char"/>
    <w:basedOn w:val="CommentTextChar"/>
    <w:link w:val="CommentSubject"/>
    <w:uiPriority w:val="99"/>
    <w:semiHidden/>
    <w:rsid w:val="008E50BA"/>
    <w:rPr>
      <w:rFonts w:ascii="Garamond" w:hAnsi="Garamond"/>
      <w:b/>
      <w:bCs/>
    </w:rPr>
  </w:style>
  <w:style w:type="paragraph" w:styleId="Revision">
    <w:name w:val="Revision"/>
    <w:hidden/>
    <w:uiPriority w:val="99"/>
    <w:semiHidden/>
    <w:rsid w:val="00FB6ACF"/>
    <w:rPr>
      <w:rFonts w:ascii="Garamond" w:hAnsi="Garamond"/>
      <w:sz w:val="24"/>
    </w:rPr>
  </w:style>
  <w:style w:type="character" w:styleId="Emphasis">
    <w:name w:val="Emphasis"/>
    <w:basedOn w:val="DefaultParagraphFont"/>
    <w:uiPriority w:val="20"/>
    <w:qFormat/>
    <w:rsid w:val="00C87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4461">
      <w:bodyDiv w:val="1"/>
      <w:marLeft w:val="0"/>
      <w:marRight w:val="0"/>
      <w:marTop w:val="0"/>
      <w:marBottom w:val="0"/>
      <w:divBdr>
        <w:top w:val="none" w:sz="0" w:space="0" w:color="auto"/>
        <w:left w:val="none" w:sz="0" w:space="0" w:color="auto"/>
        <w:bottom w:val="none" w:sz="0" w:space="0" w:color="auto"/>
        <w:right w:val="none" w:sz="0" w:space="0" w:color="auto"/>
      </w:divBdr>
    </w:div>
    <w:div w:id="586496374">
      <w:bodyDiv w:val="1"/>
      <w:marLeft w:val="0"/>
      <w:marRight w:val="0"/>
      <w:marTop w:val="0"/>
      <w:marBottom w:val="0"/>
      <w:divBdr>
        <w:top w:val="none" w:sz="0" w:space="0" w:color="auto"/>
        <w:left w:val="none" w:sz="0" w:space="0" w:color="auto"/>
        <w:bottom w:val="none" w:sz="0" w:space="0" w:color="auto"/>
        <w:right w:val="none" w:sz="0" w:space="0" w:color="auto"/>
      </w:divBdr>
    </w:div>
    <w:div w:id="14836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data.org/resources/resource/1758/data-meeting-protocol" TargetMode="External"/><Relationship Id="rId13" Type="http://schemas.openxmlformats.org/officeDocument/2006/relationships/hyperlink" Target="https://ideadata.org/resources/resource/1725/quick-references-for-idea-data" TargetMode="External"/><Relationship Id="rId18" Type="http://schemas.openxmlformats.org/officeDocument/2006/relationships/hyperlink" Target="https://ideadata.org/resources/resource/1543/part-c-exiting-counts" TargetMode="External"/><Relationship Id="rId26" Type="http://schemas.openxmlformats.org/officeDocument/2006/relationships/hyperlink" Target="https://ideadata.org/resources/resource/1488/using-a-theory-of-action-to-develop-performance-indicators-to-measure" TargetMode="External"/><Relationship Id="rId3" Type="http://schemas.openxmlformats.org/officeDocument/2006/relationships/styles" Target="styles.xml"/><Relationship Id="rId21" Type="http://schemas.openxmlformats.org/officeDocument/2006/relationships/hyperlink" Target="https://www.google.com/https:/ideadata.org/resources/resource/1581/the-importance-of-high-quality-data-and-the-role-of-business-rules" TargetMode="External"/><Relationship Id="rId7" Type="http://schemas.openxmlformats.org/officeDocument/2006/relationships/endnotes" Target="endnotes.xml"/><Relationship Id="rId12" Type="http://schemas.openxmlformats.org/officeDocument/2006/relationships/hyperlink" Target="https://ideadata.org/resources/resource/123/section-618-public-reporting-requirements" TargetMode="External"/><Relationship Id="rId17" Type="http://schemas.openxmlformats.org/officeDocument/2006/relationships/hyperlink" Target="https://ideadata.org/resources/resource/1750/part-c-exiting-toolkit" TargetMode="External"/><Relationship Id="rId25" Type="http://schemas.openxmlformats.org/officeDocument/2006/relationships/hyperlink" Target="https://ideadata.org/resources/resource/1571/operationalizing-your-ssip-evaluation-a-self-assessment-tool" TargetMode="External"/><Relationship Id="rId2" Type="http://schemas.openxmlformats.org/officeDocument/2006/relationships/numbering" Target="numbering.xml"/><Relationship Id="rId16" Type="http://schemas.openxmlformats.org/officeDocument/2006/relationships/hyperlink" Target="https://ideadata.org/resources/resource/1564/idea-data-training-modules" TargetMode="External"/><Relationship Id="rId20" Type="http://schemas.openxmlformats.org/officeDocument/2006/relationships/hyperlink" Target="https://ideadata.org/resources/resource/1676/idea-part-c-confidentiality-checklis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data.org/resources/resource/1476/idea-section-618-public-reporting-data-element-checklists" TargetMode="External"/><Relationship Id="rId24" Type="http://schemas.openxmlformats.org/officeDocument/2006/relationships/hyperlink" Target="https://ideadata.org/resources/resource/1471/considerations-for-making-changes-to-simr-baseline-and-targe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eadata.org/resources/resource/1427/618-data-pre-submission-edit-check-tools" TargetMode="External"/><Relationship Id="rId23" Type="http://schemas.openxmlformats.org/officeDocument/2006/relationships/hyperlink" Target="https://ideadata.org/resources/resource/1487/a-guide-to-ssip-evaluation-planning" TargetMode="External"/><Relationship Id="rId28" Type="http://schemas.openxmlformats.org/officeDocument/2006/relationships/footer" Target="footer1.xml"/><Relationship Id="rId10" Type="http://schemas.openxmlformats.org/officeDocument/2006/relationships/hyperlink" Target="https://ideadata.org/sites/default/files/media/documents/2018-02/Step_by_Step_Outlier_Analysis.pdf" TargetMode="External"/><Relationship Id="rId19" Type="http://schemas.openxmlformats.org/officeDocument/2006/relationships/hyperlink" Target="https://ideadata.org/resources/resource/1561/part-c-idea-data-processes-toolk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eadata.org/resources/resource/1508/idea-data-quality-outlier-analyses-tools" TargetMode="External"/><Relationship Id="rId14" Type="http://schemas.openxmlformats.org/officeDocument/2006/relationships/hyperlink" Target="https://ideadata.org/resources/resource/1410/spp-indicator-cards" TargetMode="External"/><Relationship Id="rId22" Type="http://schemas.openxmlformats.org/officeDocument/2006/relationships/hyperlink" Target="https://ideadata.org/resources/resource/1582/working-principles-of-high-quality-idea-data" TargetMode="External"/><Relationship Id="rId27" Type="http://schemas.openxmlformats.org/officeDocument/2006/relationships/hyperlink" Target="https://ideadata.org/resources/resource/1570/using-growth-models-to-measure-child-student-outcomes-for-state-systemic"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C996-35D8-442E-A682-F245C259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A40B9308.dotm</Template>
  <TotalTime>2</TotalTime>
  <Pages>2</Pages>
  <Words>933</Words>
  <Characters>7295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Warren</dc:creator>
  <cp:keywords/>
  <dc:description/>
  <cp:lastModifiedBy>Sylvie Warren</cp:lastModifiedBy>
  <cp:revision>3</cp:revision>
  <cp:lastPrinted>2018-05-07T19:04:00Z</cp:lastPrinted>
  <dcterms:created xsi:type="dcterms:W3CDTF">2018-05-21T12:06:00Z</dcterms:created>
  <dcterms:modified xsi:type="dcterms:W3CDTF">2018-05-21T12:08:00Z</dcterms:modified>
</cp:coreProperties>
</file>